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chcą się dokształcać - tylko w ostatniej dekadzie liczba placówek edukacyjnych wzrosła o 43 proc.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Wygląda na to, że Polacy chętnie korzystają z ofert firm oferujących różnego rodzaju zajęcia edukacyjne. Większość tego typu działalności dobrze zniosła okres lockdownów. W najgorszej sytuacji są te organizujące zajęcia sportowe i rekreacyjne, których nie dało się przenieść do trybu zdalnego - aż 80 proc. z nich ma problemy finansowe. Wiele firm szkoleniowych i edukacyjnych na długo przed pandemią doceniło zalety nauczania zdalnego, natomiast jeśli chodzi o szkoły i uczelnie, to zdaniem 77 proc. badanych przez polski ClickMeeting nie są one przygotowane do efektywnego prowadzenia nauki w tym trybie.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połowie 2021 r. w Polsce zarejestrowanych było w sumie 150,5 tys. podmiotów, firm i placówek ściśle związanych z nauką i kształceniem</w:t>
      </w:r>
      <w:r>
        <w:rPr>
          <w:rFonts w:ascii="calibri" w:hAnsi="calibri" w:eastAsia="calibri" w:cs="calibri"/>
          <w:sz w:val="24"/>
          <w:szCs w:val="24"/>
        </w:rPr>
        <w:t xml:space="preserve">, jak wynika z informacji Dun&amp;Bradstreet, globalnej wywiadowni gospodarczej. </w:t>
      </w:r>
      <w:r>
        <w:rPr>
          <w:rFonts w:ascii="calibri" w:hAnsi="calibri" w:eastAsia="calibri" w:cs="calibri"/>
          <w:sz w:val="24"/>
          <w:szCs w:val="24"/>
          <w:b/>
        </w:rPr>
        <w:t xml:space="preserve">Tylko w ostatniej dekadzie przybyło ponad 43 proc. podmiotów na rynku edukacji</w:t>
      </w:r>
      <w:r>
        <w:rPr>
          <w:rFonts w:ascii="calibri" w:hAnsi="calibri" w:eastAsia="calibri" w:cs="calibri"/>
          <w:sz w:val="24"/>
          <w:szCs w:val="24"/>
        </w:rPr>
        <w:t xml:space="preserve">. Liczba ta obejmuje nie tylko przedszkola, szkoły i uczelnie, ale również szkoły językowe, pozaszkolne zajęcia sportowe i rekreacyjne, działalność wspomagającą edukację, szkoły artystyczne, szkoły nauki jazdy i pilotażu, szkoły przysposabiające do pracy oraz podmioty opisane w rejestrze KRS jako „pozostałe pozaszkolne formy edukacji, gdzie indziej niesklasyfikowane”.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połowa wszystkich szkół językowych w Polsce działa w województwach mazowieckim, śląskim i wielkopolskim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ta ostatnia grupa jest najliczniejsza i stanowi </w:t>
      </w:r>
      <w:r>
        <w:rPr>
          <w:rFonts w:ascii="calibri" w:hAnsi="calibri" w:eastAsia="calibri" w:cs="calibri"/>
          <w:sz w:val="24"/>
          <w:szCs w:val="24"/>
          <w:b/>
        </w:rPr>
        <w:t xml:space="preserve">ponad 1/4 wszystkich zarejestrowanych w Polsce działalności związanych z edukacją</w:t>
      </w:r>
      <w:r>
        <w:rPr>
          <w:rFonts w:ascii="calibri" w:hAnsi="calibri" w:eastAsia="calibri" w:cs="calibri"/>
          <w:sz w:val="24"/>
          <w:szCs w:val="24"/>
        </w:rPr>
        <w:t xml:space="preserve">. Zaliczają się do niej m.in. placówki kształcenia ustawicznego i doskonalenia zawodowego, korepetycje, kursy wyrównawcze i przygotowujące do egzaminów, kursy komputerowe, kursy pierwszej pomocy, szkoły przetrwania, szkolenia z zakresu komunikacji czy kursy szybkiego czytania. W ciągu ostatniej dekady liczba tego typu działalności w Polsce wzrosła aż o 80 proc. i w połowie roku było ich zarejestrowanych ponad 39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co do wielkości grupę stanowią </w:t>
      </w:r>
      <w:r>
        <w:rPr>
          <w:rFonts w:ascii="calibri" w:hAnsi="calibri" w:eastAsia="calibri" w:cs="calibri"/>
          <w:sz w:val="24"/>
          <w:szCs w:val="24"/>
          <w:b/>
        </w:rPr>
        <w:t xml:space="preserve">szkoły językowe - 19,5 tys., czyli 13 proc. wszystkich placówek edukacyjnych</w:t>
      </w:r>
      <w:r>
        <w:rPr>
          <w:rFonts w:ascii="calibri" w:hAnsi="calibri" w:eastAsia="calibri" w:cs="calibri"/>
          <w:sz w:val="24"/>
          <w:szCs w:val="24"/>
        </w:rPr>
        <w:t xml:space="preserve">. Najwięcej ich działa w województwach mazowieckim, śląskim i wielkopolskim - łącznie jest w nich zarejestrowana niemal połowa wszystkich szkół językowych w Polsce. Na trzecim miejscu, w liczbie </w:t>
      </w:r>
      <w:r>
        <w:rPr>
          <w:rFonts w:ascii="calibri" w:hAnsi="calibri" w:eastAsia="calibri" w:cs="calibri"/>
          <w:sz w:val="24"/>
          <w:szCs w:val="24"/>
          <w:b/>
        </w:rPr>
        <w:t xml:space="preserve">17,5 tys., czyli 11,6 proc. ogółu, znajdują się placówki organizujące pozaszkolne zajęcia sportowe i rekreacyjne</w:t>
      </w:r>
      <w:r>
        <w:rPr>
          <w:rFonts w:ascii="calibri" w:hAnsi="calibri" w:eastAsia="calibri" w:cs="calibri"/>
          <w:sz w:val="24"/>
          <w:szCs w:val="24"/>
        </w:rPr>
        <w:t xml:space="preserve"> - przede wszystkim młodzieżowe zajęcia i obozy sportowe, zajęcia gimnastyczne, naukę jazdy konnej pływania, sztuk walki, szachów itp. Wliczają się w to również działalność profesjonalnych instruktorów sportowych oraz kursy trenerskie.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prywatnych firm związanych z edukacją, jak np. firmy szkoleniowe, już na długo przed pandemią doceniło zalety prowadzenia zajęć w trybie zdalnym lub częściowo zdalnym, więc w czasie lockdownów były w stanie przystosować się do sytuacji szybciej i łatwiej, niż tradycyjne placówki edukacyjne.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ClickMeeting, przeprowadzonego już w 2021 r., a więc po roku pandemii, aż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77 proc. badanych źle oceniało przygotowanie szkół i uczelni do prowadzenia nauki zdalnej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Communications and Outreach Manager w ClickMeeting</w:t>
      </w:r>
      <w:r>
        <w:rPr>
          <w:rFonts w:ascii="calibri" w:hAnsi="calibri" w:eastAsia="calibri" w:cs="calibri"/>
          <w:sz w:val="24"/>
          <w:szCs w:val="24"/>
        </w:rPr>
        <w:t xml:space="preserve">, polskiej firmie dostarczającej platformę do webinarów, wideokonferencji i spotkań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80 proc. placówek organizujących zajęcia sportowe i rekreacyjne jest w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2020 r. do połowy 2021 r. </w:t>
      </w:r>
      <w:r>
        <w:rPr>
          <w:rFonts w:ascii="calibri" w:hAnsi="calibri" w:eastAsia="calibri" w:cs="calibri"/>
          <w:sz w:val="24"/>
          <w:szCs w:val="24"/>
          <w:b/>
        </w:rPr>
        <w:t xml:space="preserve">zawieszono łącznie ponad 6,5 tys. działalności</w:t>
      </w:r>
      <w:r>
        <w:rPr>
          <w:rFonts w:ascii="calibri" w:hAnsi="calibri" w:eastAsia="calibri" w:cs="calibri"/>
          <w:sz w:val="24"/>
          <w:szCs w:val="24"/>
        </w:rPr>
        <w:t xml:space="preserve"> związanych z edukacją, co stanowi </w:t>
      </w:r>
      <w:r>
        <w:rPr>
          <w:rFonts w:ascii="calibri" w:hAnsi="calibri" w:eastAsia="calibri" w:cs="calibri"/>
          <w:sz w:val="24"/>
          <w:szCs w:val="24"/>
          <w:b/>
        </w:rPr>
        <w:t xml:space="preserve">4,5 proc. wszystkich placówek</w:t>
      </w:r>
      <w:r>
        <w:rPr>
          <w:rFonts w:ascii="calibri" w:hAnsi="calibri" w:eastAsia="calibri" w:cs="calibri"/>
          <w:sz w:val="24"/>
          <w:szCs w:val="24"/>
        </w:rPr>
        <w:t xml:space="preserve">. Liczba ta obejmuje tylko prywatne działalności. Najwięcej, niemal 2,5 tys. zawieszono „pozaszkolnych form edukacji, gdzie indziej niesklasyfikowanych”. Niewiele mniej - 2,4 tys. - zawieszono działalności z sektora pozaszkolnej edukacji sportowej oraz zajęć sportowych i rekreacyjnych. Szkół nauki języków obcych zawieszono w tym okresie 1,3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najgorszej sytuacji finansowej znajdują się podmioty organizujące pozaszkolne zajęcia sportowe i rekreacyjne</w:t>
      </w:r>
      <w:r>
        <w:rPr>
          <w:rFonts w:ascii="calibri" w:hAnsi="calibri" w:eastAsia="calibri" w:cs="calibri"/>
          <w:sz w:val="24"/>
          <w:szCs w:val="24"/>
        </w:rPr>
        <w:t xml:space="preserve"> - kondycję aż 80 proc. można określić jako słabą lub bardzo złą. Trudno się dziwić - większości tego typu zajęć nie dało się przenieść do trybu zdalnego podczas lockdownów, więc skutki pandemii były dla nich wyjątkowo boleśnie odczuwalne. W pozostałych sektorach przeważają podmioty, których sytuacja finansowa jest dobra lub nawet bardzo dobra.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wygląda sytuacja szkół przysposabiających do pracy - aż 89 proc. jest w dobrej i bardzo dobrej kondycji.</w:t>
      </w:r>
      <w:r>
        <w:rPr>
          <w:rFonts w:ascii="calibri" w:hAnsi="calibri" w:eastAsia="calibri" w:cs="calibri"/>
          <w:sz w:val="24"/>
          <w:szCs w:val="24"/>
        </w:rPr>
        <w:t xml:space="preserve"> Dobrze trzymają się również szkoły nauki jazdy i pilotażu - 85 proc. - oraz szkoły językowe - 70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sytuacji narastającej czwartej fali pandemii i możliwego powrotu do obostrzeń w poszczególnych regionach placówki edukacyjne powinny zawczasu pomyśleć o zaopatrzeniu się w odpowiednie narzędzia do prowadzenia nauki przez Internet, by tym razem być lepiej przygotowanym. Niemal 40 proc. badanych uważa, że najlepiej sprawdza się nauka w formie hybrydowej i myślę, że właśnie w tym kierunku będą zmierzać placówki edukacyjne. W przypadku sektora prywatnego stanie się to zapewne szybciej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Communications and Outreach Manager w ClickMeeting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platformie ClickMeeting w 2021 r. odbywa się </w:t>
      </w:r>
      <w:r>
        <w:rPr>
          <w:rFonts w:ascii="calibri" w:hAnsi="calibri" w:eastAsia="calibri" w:cs="calibri"/>
          <w:sz w:val="24"/>
          <w:szCs w:val="24"/>
          <w:b/>
        </w:rPr>
        <w:t xml:space="preserve">średnio 35 tys. zajęć edukacyjnych miesięcznie</w:t>
      </w:r>
      <w:r>
        <w:rPr>
          <w:rFonts w:ascii="calibri" w:hAnsi="calibri" w:eastAsia="calibri" w:cs="calibri"/>
          <w:sz w:val="24"/>
          <w:szCs w:val="24"/>
        </w:rPr>
        <w:t xml:space="preserve">. Z myślą o nich firma regularnie wprowadza kolejne funkcje, mające ułatwić naukę przez Internet. We wrześniu uruchomiła możliwość skorzystania z trybu Edu, w którym uczestnicy zajęć widzą i słyszą tylko siebie i prowadzącego oraz ewentualnie osoby poproszone o zabranie głosu. Pomaga to skupić się na wykonywaniu własnych zadań oraz zapanować nad grupą, a także wspiera ochronę prywatności użytkowników.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Bradstreet. Analizie poddano dane z rejestru KRS. Na ocenę kondycji finansowej placówek edukacyjnych bezpośredni wpływ mają takie wskaźniki jak płynność, wysokość zadłużenia i rentowność. Dodatkowo wzięta została pod uwagę zdolność finansowa podmiotu, poziom zarejestrowanych, przeterminowanych płatności, zarejestrowane wnioski z sądów gospodarczych o upadłość lub postępowanie naprawcze, ogłoszenie upadłości, rozpoczęcie procesu likwidacji oraz negatywne sygnały prasowe. Ocena kondycji finansowej branży odbywała się na podstawie danych finansowych nie starszych niż dwa lata. W przypadku spółek prawa handlowego za podstawę do oceny brano bilans i rachunek wyników. W przypadku podmiotów nieprowadzących pełnej księgowości oparto się na danych o przychodach, kosztach i wyniku finansowym podmiotu zadeklarowanych przez szefów biur.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jak-oceniamy-nauke-zdalna-po-roku-pandem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2024-05-02T06:21:06+02:00</dcterms:created>
  <dcterms:modified xsi:type="dcterms:W3CDTF">2024-05-02T06:21:06+02:00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