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Płatne webinary coraz większym biznesem. Polacy wydali na nie prawie 5 mln zł w trzy kwartały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w pierwszych trzech kwartałach 2026 r. twórcy płatnych wydarzeń organizowanych za pośrednictwem polskiego ClickMeeting sprzedali ponad 40 tys. biletów za łączną kwotę niemal 5 mln zł. To wyraźnie więcej niż w tym samym okresie 2025 r., gdy sprzedaż biletów przekroczyła 27 tys., a przychody wyniosły ponad 3 mln zł. Rekordowe tegoroczne wydarzenie przyniosło 144 tys. zł, a na największe pod względem frekwencji kupiono 971 biletów. Dane lidera polskiego rynku webinarów i spotkań online pokazują, że płatny webinar coraz częściej nie jest już dodatkiem do działalności eksperta, ale samodzielnym produktem cyfrowym.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pierwszych trzech kwartałach 2026 r. na platformie ClickMeeting odbyło się 1584 płatnych wydarzeń online. Organizatorzy sprzedali 60 480 biletów, uzyskując łącznie 6 524 017 zł przychodu. Największa część tego rynku przypadła na Polskę. Od stycznia do września polscy organizatorzy przeprowadzili 1124 płatne wydarzenia, na które sprzedali 40 862 bilety. Przychody wyniosły 4 990 384 zł, a średnia cena biletu 122 zł. W ciągu roku liczba sprzedanych biletów na polskie płatne wydarzenia wzrosła z ponad 27 tys. do ponad 40 tys., a wartość sprzedaży z ponad 3 mln do niemal 5 mln zł. Płatne wydarzenie coraz częściej nie jest już narzędziem wspierającym sprzedaż, ale samą ofertą, którą organizator projektuje, wycenia i sprzedaje.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144 tys. zł z jednego webinaru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Najbardziej dochodowe polskie wydarzenia pokazują, że za wyspecjalizowaną wiedzę odbiorcy są gotowi zapłacić znaczące kwoty. Najwięcej, </w:t>
      </w:r>
      <w:r>
        <w:rPr>
          <w:rFonts w:ascii="calibri" w:hAnsi="calibri" w:eastAsia="calibri" w:cs="calibri"/>
          <w:sz w:val="24"/>
          <w:szCs w:val="24"/>
          <w:b/>
        </w:rPr>
        <w:t xml:space="preserve">144 276 zł</w:t>
      </w:r>
      <w:r>
        <w:rPr>
          <w:rFonts w:ascii="calibri" w:hAnsi="calibri" w:eastAsia="calibri" w:cs="calibri"/>
          <w:sz w:val="24"/>
          <w:szCs w:val="24"/>
        </w:rPr>
        <w:t xml:space="preserve">, przyniosła konferencja dotycząca praktycznych zagadnień ratownictwa medycznego. Drugie miejsce zajęło wydarzenie poświęcone poczuciu własnej wartości, które wygenerowało </w:t>
      </w:r>
      <w:r>
        <w:rPr>
          <w:rFonts w:ascii="calibri" w:hAnsi="calibri" w:eastAsia="calibri" w:cs="calibri"/>
          <w:sz w:val="24"/>
          <w:szCs w:val="24"/>
          <w:b/>
        </w:rPr>
        <w:t xml:space="preserve">88 580 zł</w:t>
      </w:r>
      <w:r>
        <w:rPr>
          <w:rFonts w:ascii="calibri" w:hAnsi="calibri" w:eastAsia="calibri" w:cs="calibri"/>
          <w:sz w:val="24"/>
          <w:szCs w:val="24"/>
        </w:rPr>
        <w:t xml:space="preserve">, a trzecie wydarzenie dotyczące rozwoju osobistego i planowania, z przychodem </w:t>
      </w:r>
      <w:r>
        <w:rPr>
          <w:rFonts w:ascii="calibri" w:hAnsi="calibri" w:eastAsia="calibri" w:cs="calibri"/>
          <w:sz w:val="24"/>
          <w:szCs w:val="24"/>
          <w:b/>
        </w:rPr>
        <w:t xml:space="preserve">62 646 zł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Tegoroczny rekord jest o ponad 68 proc. wyższy od najwyższego przychodu z pojedynczego wydarzenia odnotowanego w pierwszych trzech kwartałach 2025 r. Wtedy lider wygenerował 85,6 tys. Pod względem liczby sprzedanych biletów również dominowały wydarzenia specjalistyczne. Konferencja dotycząca ratownictwa medycznego zgromadziła </w:t>
      </w:r>
      <w:r>
        <w:rPr>
          <w:rFonts w:ascii="calibri" w:hAnsi="calibri" w:eastAsia="calibri" w:cs="calibri"/>
          <w:sz w:val="24"/>
          <w:szCs w:val="24"/>
          <w:b/>
        </w:rPr>
        <w:t xml:space="preserve">blisko tysiąc uczestników</w:t>
      </w:r>
      <w:r>
        <w:rPr>
          <w:rFonts w:ascii="calibri" w:hAnsi="calibri" w:eastAsia="calibri" w:cs="calibri"/>
          <w:sz w:val="24"/>
          <w:szCs w:val="24"/>
        </w:rPr>
        <w:t xml:space="preserve">, wydarzenie dotyczące psychologicznych aspektów relacji rodzinnych </w:t>
      </w:r>
      <w:r>
        <w:rPr>
          <w:rFonts w:ascii="calibri" w:hAnsi="calibri" w:eastAsia="calibri" w:cs="calibri"/>
          <w:sz w:val="24"/>
          <w:szCs w:val="24"/>
          <w:b/>
        </w:rPr>
        <w:t xml:space="preserve">800 osób</w:t>
      </w:r>
      <w:r>
        <w:rPr>
          <w:rFonts w:ascii="calibri" w:hAnsi="calibri" w:eastAsia="calibri" w:cs="calibri"/>
          <w:sz w:val="24"/>
          <w:szCs w:val="24"/>
        </w:rPr>
        <w:t xml:space="preserve">, a szkolenie z zakresu ratownictwa medycznego </w:t>
      </w:r>
      <w:r>
        <w:rPr>
          <w:rFonts w:ascii="calibri" w:hAnsi="calibri" w:eastAsia="calibri" w:cs="calibri"/>
          <w:sz w:val="24"/>
          <w:szCs w:val="24"/>
          <w:b/>
        </w:rPr>
        <w:t xml:space="preserve">567 widzów</w:t>
      </w:r>
      <w:r>
        <w:rPr>
          <w:rFonts w:ascii="calibri" w:hAnsi="calibri" w:eastAsia="calibri" w:cs="calibri"/>
          <w:sz w:val="24"/>
          <w:szCs w:val="24"/>
        </w:rPr>
        <w:t xml:space="preserve">. Wśród najpopularniejszych tematów znalazły się więc zarówno specjalistyczna wiedza zawodowa, jak i psychologia, relacje oraz rozwój osobisty.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Płatne webinary coraz częściej są traktowane nie jako dodatek do działań marketingowych, ale jako samodzielny produkt cyfrowy. Ich przewagą jest to, że nie wymagają masowej publiczności — znacznie ważniejsze jest dotarcie do konkretnej grupy odbiorców, która widzi realną wartość w oferowanej wiedzy i jest gotowa za nią zapłacić. Dla ekspertów, trenerów czy firm oznacza to możliwość bezpośredniej monetyzacji kompetencji przy relatywnie niskich kosztach organizacji. Platforma, która umożliwia prowadzenie płatnych wydarzeń, integrację z systemami płatności i zarządzanie dostępem uczestników, znacząco upraszcza uruchomienie takiego modelu biznesowego -</w:t>
      </w:r>
      <w:r>
        <w:rPr>
          <w:rFonts w:ascii="calibri" w:hAnsi="calibri" w:eastAsia="calibri" w:cs="calibri"/>
          <w:sz w:val="24"/>
          <w:szCs w:val="24"/>
        </w:rPr>
        <w:t xml:space="preserve">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Martyna Grzegorczyk, Marketing Manager ClickMeeting.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Rośnie wartość pojedynczego biletu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z 2026 r. pokazują również, że organizatorzy coraz odważniej wyceniają specjalistyczną wiedzę. W pierwszych trzech kwartałach 2026 r. średni przychód z polskiego płatnego wydarzenia wyniósł </w:t>
      </w:r>
      <w:r>
        <w:rPr>
          <w:rFonts w:ascii="calibri" w:hAnsi="calibri" w:eastAsia="calibri" w:cs="calibri"/>
          <w:sz w:val="24"/>
          <w:szCs w:val="24"/>
          <w:b/>
        </w:rPr>
        <w:t xml:space="preserve">4439 zł</w:t>
      </w:r>
      <w:r>
        <w:rPr>
          <w:rFonts w:ascii="calibri" w:hAnsi="calibri" w:eastAsia="calibri" w:cs="calibri"/>
          <w:sz w:val="24"/>
          <w:szCs w:val="24"/>
        </w:rPr>
        <w:t xml:space="preserve">. Jednocześnie rosła średnia cena biletu: z </w:t>
      </w:r>
      <w:r>
        <w:rPr>
          <w:rFonts w:ascii="calibri" w:hAnsi="calibri" w:eastAsia="calibri" w:cs="calibri"/>
          <w:sz w:val="24"/>
          <w:szCs w:val="24"/>
          <w:b/>
        </w:rPr>
        <w:t xml:space="preserve">126 zł w I kwartale do 146 zł w III kwartale</w:t>
      </w:r>
      <w:r>
        <w:rPr>
          <w:rFonts w:ascii="calibri" w:hAnsi="calibri" w:eastAsia="calibri" w:cs="calibri"/>
          <w:sz w:val="24"/>
          <w:szCs w:val="24"/>
        </w:rPr>
        <w:t xml:space="preserve">. W 2025 r. przychody organizatorów płatnych wydarzeń na ClickMeeting wzrosły o 40 proc. Tegoroczne dane pokazują dalszy rozwój modelu, w którym wiedza może być sprzedawana bezpośrednio odbiorcy, bez konieczności budowania wokół niej tradycyjnego produktu czy stacjonarnego wydarzenia.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Bezpieczna infrastruktura częścią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Płatny webinar to nie tylko transmisja, ale także obsługa danych uczestników. Dlatego wraz z rozwojem tego modelu znaczenia nabiera infrastruktura, na której odbywa się cały proces. ClickMeeting, europejska platforma z certyfikatem </w:t>
      </w:r>
      <w:r>
        <w:rPr>
          <w:rFonts w:ascii="calibri" w:hAnsi="calibri" w:eastAsia="calibri" w:cs="calibri"/>
          <w:sz w:val="24"/>
          <w:szCs w:val="24"/>
          <w:b/>
        </w:rPr>
        <w:t xml:space="preserve">ISO/IEC 27001:2022</w:t>
      </w:r>
      <w:r>
        <w:rPr>
          <w:rFonts w:ascii="calibri" w:hAnsi="calibri" w:eastAsia="calibri" w:cs="calibri"/>
          <w:sz w:val="24"/>
          <w:szCs w:val="24"/>
        </w:rPr>
        <w:t xml:space="preserve">, łączy organizację wydarzenia, obsługę uczestników, zapewniając rozwiązania zgodne z europejskimi standardami ochrony danych.</w:t>
      </w:r>
    </w:p>
    <w:p>
      <w:pPr>
        <w:spacing w:before="0" w:after="300"/>
      </w:pPr>
    </w:p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2026-09-17T16:09:00+02:00</dcterms:created>
  <dcterms:modified xsi:type="dcterms:W3CDTF">2026-09-17T16:09:00+02:00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