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54 proc. cyberataków uderza w sektory kluczowe dla Polski i UE. Tymczasem ¼ Polaków nie interesuje się, skąd pochodzi ich oprogramowanie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30 proc. osób 60+ badanych przez polski ClickMeeting twierdzi, że kraj pochodzenia narzędzi i usług online stanowi dla nich kluczowe kryterium wyboru, podczas gdy w młodszych grupach wiekowych ten odsetek jest wyraźnie niższy – wśród osób w wieku od 18 do 27 lat wynosi tylko 18 proc. Tymczasem European Union Agency for Cybersecurity alarmuje, że ponad połowa cyberataków dotyczy sektorów kluczowych dla funkcjonowania państw, a phishing odpowiada za 60 proc. incydentów. W takiej sytuacji wybór narzędzi zgodnych z europejskimi standardami bezpieczeństwa staje się jednym z najważniejszych elementów ochrony 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Prezydent podpisał i przesłał do konsultacji Trybunału Konstytucyjnego rządowy projekt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ustawy</w:t>
        </w:r>
      </w:hyperlink>
      <w:r>
        <w:rPr>
          <w:rFonts w:ascii="calibri" w:hAnsi="calibri" w:eastAsia="calibri" w:cs="calibri"/>
          <w:sz w:val="24"/>
          <w:szCs w:val="24"/>
        </w:rPr>
        <w:t xml:space="preserve"> wdrażającej wymagania unijnej dyrektywy NIS2. Wprowadza ona </w:t>
      </w:r>
      <w:r>
        <w:rPr>
          <w:rFonts w:ascii="calibri" w:hAnsi="calibri" w:eastAsia="calibri" w:cs="calibri"/>
          <w:sz w:val="24"/>
          <w:szCs w:val="24"/>
          <w:b/>
        </w:rPr>
        <w:t xml:space="preserve">nowe, znacznie wyższe od dotychczasowych wymagania dotyczące cyberbezpieczeństwa</w:t>
      </w:r>
      <w:r>
        <w:rPr>
          <w:rFonts w:ascii="calibri" w:hAnsi="calibri" w:eastAsia="calibri" w:cs="calibri"/>
          <w:sz w:val="24"/>
          <w:szCs w:val="24"/>
        </w:rPr>
        <w:t xml:space="preserve"> dla firm i instytucji działających w wybranych sektorach gospodarki.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Dla zachowania bezpieczeństwa cyfrowego ważne jest nie tylko spełnianie wymagań formalnych, ale przede wszystkim świadome podejście. Organizacje publiczne i prywatne już teraz, bez czekania na nowe przepisy, powinny zwracać uwagę na to, czy dostawcy technologii zapewniają pełną przejrzystość przetwarzania danych, działają w oparciu o europejskie regulacje oraz umożliwiają realną kontrolę nad infrastrukturą i łańcuchem dostaw. To fundament cyfrowej suwerenności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Bołcun, Brand Manager ClickMeeting</w:t>
      </w:r>
      <w:r>
        <w:rPr>
          <w:rFonts w:ascii="calibri" w:hAnsi="calibri" w:eastAsia="calibri" w:cs="calibri"/>
          <w:sz w:val="24"/>
          <w:szCs w:val="24"/>
        </w:rPr>
        <w:t xml:space="preserve">, lidera polskiego rynku webinarów i spotkań online.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Oznacza to wybieranie narzędzi które, tak jak ClickMeeting, współpracują wyłącznie z certyfikowanymi centrami danych i legitymują się międzynarodową certyfikacją ISO/IEC 27001:2022 potwierdzającą wdrożenie i utrzymywanie Systemu Zarządzania Bezpieczeństwem Informacji. To fundamenty, które pozwalają instytucjom działać zgodnie z europejskimi wymaganiami i minimalizować ryzyko.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Seniorzy najczujniejsi w kwestii pochodzenia narzędzy cyfrowych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wskazują, że narzędzia wspierające obywateli w dbaniu o kwestie bezpieczeństwa cyfrowego są bardzo potrzebne. Jak wynika z badań przeprowadzonych na zlecenie ClickMeeting, aż </w:t>
      </w:r>
      <w:r>
        <w:rPr>
          <w:rFonts w:ascii="calibri" w:hAnsi="calibri" w:eastAsia="calibri" w:cs="calibri"/>
          <w:sz w:val="24"/>
          <w:szCs w:val="24"/>
          <w:b/>
        </w:rPr>
        <w:t xml:space="preserve">23 proc. Polaków przy wyborze oprogramowania i usług online w ogóle nie zwraca uwagi na kraj ich pochodzenia </w:t>
      </w:r>
      <w:r>
        <w:rPr>
          <w:rFonts w:ascii="calibri" w:hAnsi="calibri" w:eastAsia="calibri" w:cs="calibri"/>
          <w:sz w:val="24"/>
          <w:szCs w:val="24"/>
        </w:rPr>
        <w:t xml:space="preserve">w kontekście bezpieczeństwa udostępnianych danych. Co ciekawe, to badani w wieku powyżej 60. roku życia najrzadziej wskazywali tę odpowiedź (17 proc.). W młodszych grupach wiekowych odsetek ten wynosił ok. 25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4. badany deklaruje z kolei, że zawsze sprawdza kraj pochodzenia produktów cyfrowych i stanowi on dla niego kluczowe kryterium wyboru. Tutaj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najstarsi badani wykazują się największą odpowiedzialnością</w:t>
      </w:r>
      <w:r>
        <w:rPr>
          <w:rFonts w:ascii="calibri" w:hAnsi="calibri" w:eastAsia="calibri" w:cs="calibri"/>
          <w:sz w:val="24"/>
          <w:szCs w:val="24"/>
        </w:rPr>
        <w:t xml:space="preserve"> – tę odpowiedź wybrało 27 proc. osób w wieku powyżej 60 lat, 22 proc. w wieku od 45 do 59 lat, 23 proc. od 28 do 44 lat i tylko 18 proc. w wieku od 18 do 27 lat. Najwięcej respondentów zwraca uwagę na kraj pochodzenia oprogramowania lub usług online tylko w sytuacji, gdy budzą one ich wątpliwości. W poszczególnych grupach wiekowych wygląda to następująco: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18-27 lat – 49 proc.,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28-44 lata – 42 proc.,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45-59 lat – 44 proc.,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ponad 60 proc. – 48 proc.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Celem ponad połowy cyberataków są instytucje kluczowe dla działania państw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podaje ENISA</w:t>
        </w:r>
      </w:hyperlink>
      <w:r>
        <w:rPr>
          <w:rFonts w:ascii="calibri" w:hAnsi="calibri" w:eastAsia="calibri" w:cs="calibri"/>
          <w:sz w:val="24"/>
          <w:szCs w:val="24"/>
        </w:rPr>
        <w:t xml:space="preserve"> (European Union Agency for Cybersecurity), instytucje oraz obywatele państw unijnych są nieustannym celem cyberszpiegostwa i manipulacji. Do włamań na konta i do systemów przestępcy najczęściej wykorzystują phishing (60 proc. incydentów w 2025 r.) oraz luki w zabezpieczeniach (21,5 proc. incydentów). </w:t>
      </w:r>
      <w:r>
        <w:rPr>
          <w:rFonts w:ascii="calibri" w:hAnsi="calibri" w:eastAsia="calibri" w:cs="calibri"/>
          <w:sz w:val="24"/>
          <w:szCs w:val="24"/>
          <w:b/>
        </w:rPr>
        <w:t xml:space="preserve">Prawie 40 proc. ubiegłorocznych ataków było wymierzonych w instytucje administracji publicznej</w:t>
      </w:r>
      <w:r>
        <w:rPr>
          <w:rFonts w:ascii="calibri" w:hAnsi="calibri" w:eastAsia="calibri" w:cs="calibri"/>
          <w:sz w:val="24"/>
          <w:szCs w:val="24"/>
        </w:rPr>
        <w:t xml:space="preserve">, kolejne miejsca zajmują sektory transportu (7,5 proc. ataków), infrastruktura i usługi cyfrowe (5 proc.) oraz finanse (4,5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</w:t>
      </w:r>
      <w:r>
        <w:rPr>
          <w:rFonts w:ascii="calibri" w:hAnsi="calibri" w:eastAsia="calibri" w:cs="calibri"/>
          <w:sz w:val="24"/>
          <w:szCs w:val="24"/>
          <w:b/>
        </w:rPr>
        <w:t xml:space="preserve">54 proc. ataków było wymierzone w branże, które dyrektywa NIS2 określa jako kluczowe dla gospodarki i społeczeństwa Unii Europejskiej</w:t>
      </w:r>
      <w:r>
        <w:rPr>
          <w:rFonts w:ascii="calibri" w:hAnsi="calibri" w:eastAsia="calibri" w:cs="calibri"/>
          <w:sz w:val="24"/>
          <w:szCs w:val="24"/>
        </w:rPr>
        <w:t xml:space="preserve">. Nowe przepisy zobowiązują podmioty działające w tych sektorach m.in. do lepszego zarządzania ryzykiem, kontroli nad dostawcami technologii oraz szybkiego reagowania na incydenty. W praktyce oznacza to konieczność korzystania z rozwiązań cyfrowych, które są transparentne, bezpieczne i zgodne z europejskimi standardami.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w listopadzie 2025 roku na reprezentatywnej grupie 1000 dorosłych Polaków.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jm.gov.pl/sejm10.nsf/PrzebiegProc.xsp?nr=1955" TargetMode="External"/><Relationship Id="rId8" Type="http://schemas.openxmlformats.org/officeDocument/2006/relationships/hyperlink" Target="https://www.enisa.europa.eu/news/etl-2025-eu-consistently-targeted-by-diverse-yet-convergent-threat-grou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2026-04-13T15:53:51+02:00</dcterms:created>
  <dcterms:modified xsi:type="dcterms:W3CDTF">2026-04-13T15:53:51+02:00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