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przybywa placówek edukacyjnych. Badania wskazują, że Polacy chcą nowszych sposobów nauczania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system edukacji obejmuje łącznie 6,3 mln dzieci, młodzieży i dorosłych, a przedszkoli, szkół i uczelni jest obecnie zarejestrowanych już ponad 48 tys. W ciągu dekady liczba ta zwiększyła się o 17,5 proc. Przybywa głównie szkół policealnych i przedszkoli. Zdecydowana większość z nich znajduje się w dobrej kondycji finansowej. W przeciwieństwie do wielu innych branża edukacyjna nie odczuła boleśnie minionego roku w kontekście utraty dochodów czy zamykania placówek, musiała jednak całkowicie zrewolucjonizować swoje działanie. W pierwszym półroczu 2021 r. na polskiej platformie webinarowej ClickMeeting szkoły i uczelnie organizowały średnio 35 tys. zajęć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Głównego Urzędu Statystycznego w roku szkolnym 2019/2020 w szkołach podstawowych i ponadpodstawowych w Polsce uczyło się 4,9 mln dzieci, młodzieży i dorosłych, czyli blisko 13 proc. ludności całego kraju. Wychowaniem przedszkolnym było objętych 1,4 mln dzieci. Jak wynika z danych dostarczonych przez największą na świecie wywiadownię gospodarczą Dun&amp;Brandstreet na koniec maja 2021 r., w KRS zarejestrowanych było w sumie 48,3 tys. przedszkoli, szkół podstawowych, gimnazjów, liceów, techników, szkół zawodowych i policealnych oraz szkół wyższych. Liczba ta obejmuje zarówno placówki prywatne, jak i te podległe jednostkom samorządów terytorialnych.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Przybywa głównie szkół policealnych i przedszkoli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ostatniej dekady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zarejestrowanych w Polsce placówek edukacyjnych zwiększyła się o 17,5 proc. </w:t>
      </w:r>
      <w:r>
        <w:rPr>
          <w:rFonts w:ascii="calibri" w:hAnsi="calibri" w:eastAsia="calibri" w:cs="calibri"/>
          <w:sz w:val="24"/>
          <w:szCs w:val="24"/>
        </w:rPr>
        <w:t xml:space="preserve">Najwięcej przybyło szkół policealnych - aż o 152 proc. - i przedszkoli - o 129 proc. O 25 proc. wzrosła liczba zarejestrowanych w KRS liceów ogólnokształcących, a o 15 proc. szkół podstawowych. Zasadniczych szkół zawodowych przybyło niecałe 0,5 proc. W niektórych kategoriach z kolei nastąpił spadek. Największy dotyczy oczywiście liczby gimnazjów, które od 2017 r. były wygaszane i w 2019 r. zostały zlikwidowane. Obecnie zarejestrowanych jest ich tylko 87. Ubyło jednak również liceów profilowanych, i to aż o 78 proc., a także techników - o 27 proc. O 2,5 proc. zmniejszyła się liczba uczelni. Na podstawie dostępnych w rejestrach danych Dun&amp;Brandstreet dokonała oceny kondycji finansowej branży, która ogólnie jest dobra. Tylko sytuacja szkół policealnych nie wygląda najlepiej - aż 80 proc. podmiotów znajduje się słabej lub nawet złej kondycji finansowej.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poparcie dla hybrydowego trybu nauki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Doświadczenie pandemii spowodowało, że szkoły i uczelnie wyższe musiały całkowicie zrewolucjonizować swoją organizację i podejście do nauki. Tryb, w jakim to się wydarzyło spowodował, że nie był to proces optymalny i towarzyszyło mu wiele wyzwań i trudności. Obecnie wiele placówek, zwłaszcza publicznych, wraca do tradycyjnego, całkowicie stacjonarnego trybu działania. Zauważalne jest jednak rosnące poparcie dla trybu hybrydowego, łączącego naukę stacjonarną i przez Internet - </w:t>
      </w:r>
      <w:r>
        <w:rPr>
          <w:rFonts w:ascii="calibri" w:hAnsi="calibri" w:eastAsia="calibri" w:cs="calibri"/>
          <w:sz w:val="24"/>
          <w:szCs w:val="24"/>
          <w:b/>
        </w:rPr>
        <w:t xml:space="preserve">mówi 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firmy dostarczającej platformę do webinarów i spotkań online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Według naszego raportu „Jak oceniamy naukę zdalną po roku pandemii?” 38 proc. ankietowanych uważa, że nauka w formie hybrydowej w ich przypadku sprawdziła się najlepiej.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35 tys. zajęć edukacyjnych miesięcznie za pośrednictwem polskiego ClickMeeting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platformy ClickMeeting korzysta wiele szkół i uczelni jak na przykład Warszawski i Gdański Uniwersytet Medyczny, odbywając za jego pośrednictwem w 2021 r. średnio 35 tys. zajęć miesięcznie. Średnia długość spotkania edukacyjnego wynosi ok. 70 minut, co w stosunku do 2020 r. stanowi spadek - wtedy było to 128 minut. W spotkaniach uczestniczy średnio 11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2026-05-24T18:32:25+02:00</dcterms:created>
  <dcterms:modified xsi:type="dcterms:W3CDTF">2026-05-24T18:32:25+02:00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