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Przychody twórców webinarów o 400 tys. zł wyższe niż w całym 2024 roku – polski ClickMeeting podsumowuje pierwsze trzy kwartały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edukacji online w Polsce rośnie i generuje coraz wyższe przychody. Tylko w pierwszych trzech kwartałach 2025 r. twórcy webinarów organizowanych za pośrednictwem polskiego ClickMeeting sprzedali ponad 27 tys. biletów za łączną kwotą przekraczającą 3 mln zł. Największy przychód przyniósł webinar z dziedziny rachunkowości – ponad 85 tys. zł. Pod względem liczby uczestników rekordowa była konferencja dla pracowników z sektora medycznego, która zgromadziła ponad 500 osób. Tylko w pierwszym kwartale roku liczba twórców płatnych webinarów na platformie ClickMeeting wzrosła o niemal 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edukacji online 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8,2 proc. rocznie</w:t>
      </w:r>
      <w:r>
        <w:rPr>
          <w:rFonts w:ascii="calibri" w:hAnsi="calibri" w:eastAsia="calibri" w:cs="calibri"/>
          <w:sz w:val="24"/>
          <w:szCs w:val="24"/>
        </w:rPr>
        <w:t xml:space="preserve">, a według prognoz do 2029 r. liczba jego użytkowników wyniesie 1,1 mld. Również w Polsce w ostatnich latach odnotowano znaczący wzrost tego rynku, który ma być kontynuowany w najbliższych latach.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online, w minionych trzech kwartałach 2025 r. na webinary odbywające się na tej platformie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27,1 tys. biletów za łączną kwotę ponad 3 mln zł</w:t>
      </w:r>
      <w:r>
        <w:rPr>
          <w:rFonts w:ascii="calibri" w:hAnsi="calibri" w:eastAsia="calibri" w:cs="calibri"/>
          <w:sz w:val="24"/>
          <w:szCs w:val="24"/>
        </w:rPr>
        <w:t xml:space="preserve"> – to niemal 400 tys. zł więcej niż w całym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35,4 proc.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edukuje się online, a webinary stanowią współcześnie podstawowe narzędzie edukatorów i szkoleniowców. Od kilku lat to właśnie sektor szkoleniowo-edukacyjny odpowiada za ponad połowę wydarzeń organizowanych za pośrednictwem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85 tys. zł przychodu z webinaru o rachunkowości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sprzedanych biletów rekordowy był webinar z dziedziny rachunkowości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85,6 tys. zł </w:t>
      </w:r>
      <w:r>
        <w:rPr>
          <w:rFonts w:ascii="calibri" w:hAnsi="calibri" w:eastAsia="calibri" w:cs="calibri"/>
          <w:sz w:val="24"/>
          <w:szCs w:val="24"/>
        </w:rPr>
        <w:t xml:space="preserve">– w którym uczestniczyło </w:t>
      </w:r>
      <w:r>
        <w:rPr>
          <w:rFonts w:ascii="calibri" w:hAnsi="calibri" w:eastAsia="calibri" w:cs="calibri"/>
          <w:sz w:val="24"/>
          <w:szCs w:val="24"/>
        </w:rPr>
        <w:t xml:space="preserve">prawie 700</w:t>
      </w:r>
      <w:r>
        <w:rPr>
          <w:rFonts w:ascii="calibri" w:hAnsi="calibri" w:eastAsia="calibri" w:cs="calibri"/>
          <w:sz w:val="24"/>
          <w:szCs w:val="24"/>
        </w:rPr>
        <w:t xml:space="preserve"> osób. Drugie miejsce zajęła konferencja dla pracowników branży medycznej (</w:t>
      </w:r>
      <w:r>
        <w:rPr>
          <w:rFonts w:ascii="calibri" w:hAnsi="calibri" w:eastAsia="calibri" w:cs="calibri"/>
          <w:sz w:val="24"/>
          <w:szCs w:val="24"/>
          <w:b/>
        </w:rPr>
        <w:t xml:space="preserve">68,7 tys. zł</w:t>
      </w:r>
      <w:r>
        <w:rPr>
          <w:rFonts w:ascii="calibri" w:hAnsi="calibri" w:eastAsia="calibri" w:cs="calibri"/>
          <w:sz w:val="24"/>
          <w:szCs w:val="24"/>
        </w:rPr>
        <w:t xml:space="preserve">), a trzecie – inne wydarzenie o tematyce rachunkowości (</w:t>
      </w:r>
      <w:r>
        <w:rPr>
          <w:rFonts w:ascii="calibri" w:hAnsi="calibri" w:eastAsia="calibri" w:cs="calibri"/>
          <w:sz w:val="24"/>
          <w:szCs w:val="24"/>
          <w:b/>
        </w:rPr>
        <w:t xml:space="preserve">50,2 tys. zł</w:t>
      </w:r>
      <w:r>
        <w:rPr>
          <w:rFonts w:ascii="calibri" w:hAnsi="calibri" w:eastAsia="calibri" w:cs="calibri"/>
          <w:sz w:val="24"/>
          <w:szCs w:val="24"/>
        </w:rPr>
        <w:t xml:space="preserve">). Z kolei najwięcej uczestników zgromadziła konferencja medyczna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500 osób</w:t>
      </w:r>
      <w:r>
        <w:rPr>
          <w:rFonts w:ascii="calibri" w:hAnsi="calibri" w:eastAsia="calibri" w:cs="calibri"/>
          <w:sz w:val="24"/>
          <w:szCs w:val="24"/>
        </w:rPr>
        <w:t xml:space="preserve">, następnie wydarzenie edukacyjne dla młodzieży (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 oraz webinar o tematyce ekonomicznej (również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). Średni przychód z jednego webinaru w tym roku to w minionych dziewięciu miesiącach 2025 r. wyniósł 4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odnotowaliśmy wyraźny wzrost zainteresowania płatnymi webinarami – tylko w pierwszym kwartale tego roku liczba twórców organizujących tego typu wydarzenia wzrosła o 48,5 proc.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dają dostęp do naprawdę różnorodnej, specjalistycznej wiedzy, a odbiorcy są coraz chętniej płacą za dostęp do treści, które ich interesują – zarówno kupując bilety, jak i dobrowolnie przekazując twórcom wybrane kwoty.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emo/online-education/worldwide?srsltid=AfmBOoqf-1ylEO25O6KkXhTta5366TC1srWl0UMnQtH9dBNUAUDIayLY" TargetMode="External"/><Relationship Id="rId8" Type="http://schemas.openxmlformats.org/officeDocument/2006/relationships/hyperlink" Target="https://datareportal.com/reports/digital-2025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2026-07-11T11:07:33+02:00</dcterms:created>
  <dcterms:modified xsi:type="dcterms:W3CDTF">2026-07-11T11:07:33+02:00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