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Zdaniem 62 proc. Polaków polskie rozwiązania technologiczne i usługi online są lepsze od zagranicznych lub równie dobre. Najnowsze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wyborze oprogramowania i usług online co drugi Polak kieruje się przede wszystkim ich jakością i stabilnością działania. Niecałe 40 proc. w pierwszej kolejności zwraca uwagę na cenę, a jedynie 20 proc. na kwestie bezpieczeństwa danych i zgodności danego rozwiązania z przepisami RODO. Dla 14 proc. największe znaczenie przy wyborze rozwiązań technologicznych ma dostępność polskiego interfejsu i obsługi klienta. Dla 87 proc. obecność polskojęzycznego wsparcia technicznego jest ważna lub bardzo ważna.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Prawie </w:t>
      </w:r>
      <w:r>
        <w:rPr>
          <w:rFonts w:ascii="calibri" w:hAnsi="calibri" w:eastAsia="calibri" w:cs="calibri"/>
          <w:sz w:val="24"/>
          <w:szCs w:val="24"/>
          <w:b/>
        </w:rPr>
        <w:t xml:space="preserve">30 proc.</w:t>
      </w:r>
      <w:r>
        <w:rPr>
          <w:rFonts w:ascii="calibri" w:hAnsi="calibri" w:eastAsia="calibri" w:cs="calibri"/>
          <w:sz w:val="24"/>
          <w:szCs w:val="24"/>
        </w:rPr>
        <w:t xml:space="preserve"> Polaków jest zdania, że oprogramowanie polskich firm ma </w:t>
      </w:r>
      <w:r>
        <w:rPr>
          <w:rFonts w:ascii="calibri" w:hAnsi="calibri" w:eastAsia="calibri" w:cs="calibri"/>
          <w:sz w:val="24"/>
          <w:szCs w:val="24"/>
          <w:b/>
        </w:rPr>
        <w:t xml:space="preserve">wyższą jakość</w:t>
      </w:r>
      <w:r>
        <w:rPr>
          <w:rFonts w:ascii="calibri" w:hAnsi="calibri" w:eastAsia="calibri" w:cs="calibri"/>
          <w:sz w:val="24"/>
          <w:szCs w:val="24"/>
        </w:rPr>
        <w:t xml:space="preserve"> od tego typu rozwiązań zagranicznych, a zdaniem </w:t>
      </w:r>
      <w:r>
        <w:rPr>
          <w:rFonts w:ascii="calibri" w:hAnsi="calibri" w:eastAsia="calibri" w:cs="calibri"/>
          <w:sz w:val="24"/>
          <w:szCs w:val="24"/>
          <w:b/>
        </w:rPr>
        <w:t xml:space="preserve">32 proc.</w:t>
      </w:r>
      <w:r>
        <w:rPr>
          <w:rFonts w:ascii="calibri" w:hAnsi="calibri" w:eastAsia="calibri" w:cs="calibri"/>
          <w:sz w:val="24"/>
          <w:szCs w:val="24"/>
        </w:rPr>
        <w:t xml:space="preserve"> krajowe rozwiązania są </w:t>
      </w:r>
      <w:r>
        <w:rPr>
          <w:rFonts w:ascii="calibri" w:hAnsi="calibri" w:eastAsia="calibri" w:cs="calibri"/>
          <w:sz w:val="24"/>
          <w:szCs w:val="24"/>
          <w:b/>
        </w:rPr>
        <w:t xml:space="preserve">na tym samym poziomie</w:t>
      </w:r>
      <w:r>
        <w:rPr>
          <w:rFonts w:ascii="calibri" w:hAnsi="calibri" w:eastAsia="calibri" w:cs="calibri"/>
          <w:sz w:val="24"/>
          <w:szCs w:val="24"/>
        </w:rPr>
        <w:t xml:space="preserve">, co zagraniczne. Zaledwie 3 proc. ankietowanych uważa, że polskie rozwiązania są gorsze. Dane te pochodzą z najnowszego reprezentatywnego badania </w:t>
      </w: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narzędzi do webinarów, spotkań online oraz wsparcia pracy zdalnej i hybrydowej.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</w:t>
      </w:r>
      <w:r>
        <w:rPr>
          <w:rFonts w:ascii="calibri" w:hAnsi="calibri" w:eastAsia="calibri" w:cs="calibri"/>
          <w:sz w:val="24"/>
          <w:szCs w:val="24"/>
          <w:b/>
        </w:rPr>
        <w:t xml:space="preserve">ponad 80 proc.</w:t>
      </w:r>
      <w:r>
        <w:rPr>
          <w:rFonts w:ascii="calibri" w:hAnsi="calibri" w:eastAsia="calibri" w:cs="calibri"/>
          <w:sz w:val="24"/>
          <w:szCs w:val="24"/>
        </w:rPr>
        <w:t xml:space="preserve"> badanych deklaruje, że </w:t>
      </w:r>
      <w:r>
        <w:rPr>
          <w:rFonts w:ascii="calibri" w:hAnsi="calibri" w:eastAsia="calibri" w:cs="calibri"/>
          <w:sz w:val="24"/>
          <w:szCs w:val="24"/>
          <w:b/>
        </w:rPr>
        <w:t xml:space="preserve">wspieranie polskich firm poprzez zakup ich produktów i usług</w:t>
      </w:r>
      <w:r>
        <w:rPr>
          <w:rFonts w:ascii="calibri" w:hAnsi="calibri" w:eastAsia="calibri" w:cs="calibri"/>
          <w:sz w:val="24"/>
          <w:szCs w:val="24"/>
        </w:rPr>
        <w:t xml:space="preserve"> jest dla nich ważne lub bardzo ważne, a </w:t>
      </w:r>
      <w:r>
        <w:rPr>
          <w:rFonts w:ascii="calibri" w:hAnsi="calibri" w:eastAsia="calibri" w:cs="calibri"/>
          <w:sz w:val="24"/>
          <w:szCs w:val="24"/>
          <w:b/>
        </w:rPr>
        <w:t xml:space="preserve">55 proc.</w:t>
      </w:r>
      <w:r>
        <w:rPr>
          <w:rFonts w:ascii="calibri" w:hAnsi="calibri" w:eastAsia="calibri" w:cs="calibri"/>
          <w:sz w:val="24"/>
          <w:szCs w:val="24"/>
        </w:rPr>
        <w:t xml:space="preserve"> twierdzi, że wybierając oprogramowanie i usługi technologiczne </w:t>
      </w:r>
      <w:r>
        <w:rPr>
          <w:rFonts w:ascii="calibri" w:hAnsi="calibri" w:eastAsia="calibri" w:cs="calibri"/>
          <w:sz w:val="24"/>
          <w:szCs w:val="24"/>
          <w:b/>
        </w:rPr>
        <w:t xml:space="preserve">preferuje produkty polskiego pochodzenia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 wyborze oprogramowania najważniejsza jest jego jakość, a potem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czynnikiem przy wyborze rozwiązań technologicznych i usług online dla </w:t>
      </w:r>
      <w:r>
        <w:rPr>
          <w:rFonts w:ascii="calibri" w:hAnsi="calibri" w:eastAsia="calibri" w:cs="calibri"/>
          <w:sz w:val="24"/>
          <w:szCs w:val="24"/>
          <w:b/>
        </w:rPr>
        <w:t xml:space="preserve">53 proc.</w:t>
      </w:r>
      <w:r>
        <w:rPr>
          <w:rFonts w:ascii="calibri" w:hAnsi="calibri" w:eastAsia="calibri" w:cs="calibri"/>
          <w:sz w:val="24"/>
          <w:szCs w:val="24"/>
        </w:rPr>
        <w:t xml:space="preserve"> badanych jest ich </w:t>
      </w:r>
      <w:r>
        <w:rPr>
          <w:rFonts w:ascii="calibri" w:hAnsi="calibri" w:eastAsia="calibri" w:cs="calibri"/>
          <w:sz w:val="24"/>
          <w:szCs w:val="24"/>
          <w:b/>
        </w:rPr>
        <w:t xml:space="preserve">jakość i stabilność działania</w:t>
      </w:r>
      <w:r>
        <w:rPr>
          <w:rFonts w:ascii="calibri" w:hAnsi="calibri" w:eastAsia="calibri" w:cs="calibri"/>
          <w:sz w:val="24"/>
          <w:szCs w:val="24"/>
        </w:rPr>
        <w:t xml:space="preserve">, cena zajmuje drugie miejsce ze sporo niższym odsetkiem odpowiedzi (38 proc.). Tylko </w:t>
      </w:r>
      <w:r>
        <w:rPr>
          <w:rFonts w:ascii="calibri" w:hAnsi="calibri" w:eastAsia="calibri" w:cs="calibri"/>
          <w:sz w:val="24"/>
          <w:szCs w:val="24"/>
          <w:b/>
        </w:rPr>
        <w:t xml:space="preserve">co piąty Polak za kluczowe uznaje kwestie bezpieczeństwa i prywatności danych</w:t>
      </w:r>
      <w:r>
        <w:rPr>
          <w:rFonts w:ascii="calibri" w:hAnsi="calibri" w:eastAsia="calibri" w:cs="calibri"/>
          <w:sz w:val="24"/>
          <w:szCs w:val="24"/>
        </w:rPr>
        <w:t xml:space="preserve"> oraz zgodność danego rozwiązania z przepisami RODO.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Zazwyczaj, kiedy jest mowa o bezpieczeństwie danych, przychodzi nam na myśl RODO, ale to nie wszystko. Równie ważne jest zwracanie uwagi na to, z jakiego kraju pochodzi narzędzie czy technologia, z którego korzystamy – wbrew pozorom ma to wpływ na ochronę danych użytkowników. Firmy działające w Unii Europejskiej muszą spełniać najwyższe standardy bezpieczeństwa, co wymuszają unijne przepisy, m.in. wspomniana dyrektywa RODO. W ClickMeeting bardzo poważnie podchodzimy do polityki bezpieczeństwa, dlatego między innymi nasze serwery znajdują się w centrach danych na terenie UE, które spełniają najbardziej rygorystyczne normy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Tomasz Bołcun, Brand Manager ClickMeeting.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Dostępnością polskiego interfejsu, instrukcji obsługi i/lub polskiej obsługi klienta kieruje się </w:t>
      </w:r>
      <w:r>
        <w:rPr>
          <w:rFonts w:ascii="calibri" w:hAnsi="calibri" w:eastAsia="calibri" w:cs="calibri"/>
          <w:sz w:val="24"/>
          <w:szCs w:val="24"/>
          <w:b/>
        </w:rPr>
        <w:t xml:space="preserve">14 proc.</w:t>
      </w:r>
      <w:r>
        <w:rPr>
          <w:rFonts w:ascii="calibri" w:hAnsi="calibri" w:eastAsia="calibri" w:cs="calibri"/>
          <w:sz w:val="24"/>
          <w:szCs w:val="24"/>
        </w:rPr>
        <w:t xml:space="preserve"> badanych. Jednocześnie</w:t>
      </w:r>
      <w:r>
        <w:rPr>
          <w:rFonts w:ascii="calibri" w:hAnsi="calibri" w:eastAsia="calibri" w:cs="calibri"/>
          <w:sz w:val="24"/>
          <w:szCs w:val="24"/>
          <w:b/>
        </w:rPr>
        <w:t xml:space="preserve"> 87 proc.</w:t>
      </w:r>
      <w:r>
        <w:rPr>
          <w:rFonts w:ascii="calibri" w:hAnsi="calibri" w:eastAsia="calibri" w:cs="calibri"/>
          <w:sz w:val="24"/>
          <w:szCs w:val="24"/>
        </w:rPr>
        <w:t xml:space="preserve"> ankietowanych przyznaje, że ważne lub bardzo ważne jest dla nich to, by dział wsparcia technicznego danego oprogramowania posługiwał się językiem polskim.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oprogramowanie, to Polacy na co dzień, prywatnie lub służbowo, najczęściej korzystają z </w:t>
      </w:r>
      <w:r>
        <w:rPr>
          <w:rFonts w:ascii="calibri" w:hAnsi="calibri" w:eastAsia="calibri" w:cs="calibri"/>
          <w:sz w:val="24"/>
          <w:szCs w:val="24"/>
          <w:b/>
        </w:rPr>
        <w:t xml:space="preserve">chatów i komunikatorów</w:t>
      </w:r>
      <w:r>
        <w:rPr>
          <w:rFonts w:ascii="calibri" w:hAnsi="calibri" w:eastAsia="calibri" w:cs="calibri"/>
          <w:sz w:val="24"/>
          <w:szCs w:val="24"/>
        </w:rPr>
        <w:t xml:space="preserve"> (66,5 proc. badanych). W dalszej kolejności wskazują </w:t>
      </w:r>
      <w:r>
        <w:rPr>
          <w:rFonts w:ascii="calibri" w:hAnsi="calibri" w:eastAsia="calibri" w:cs="calibri"/>
          <w:sz w:val="24"/>
          <w:szCs w:val="24"/>
          <w:b/>
        </w:rPr>
        <w:t xml:space="preserve">platformy do spotkań i webinarów</w:t>
      </w:r>
      <w:r>
        <w:rPr>
          <w:rFonts w:ascii="calibri" w:hAnsi="calibri" w:eastAsia="calibri" w:cs="calibri"/>
          <w:sz w:val="24"/>
          <w:szCs w:val="24"/>
        </w:rPr>
        <w:t xml:space="preserve"> (26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platformy edukacyjne i szkoleniowe</w:t>
      </w:r>
      <w:r>
        <w:rPr>
          <w:rFonts w:ascii="calibri" w:hAnsi="calibri" w:eastAsia="calibri" w:cs="calibri"/>
          <w:sz w:val="24"/>
          <w:szCs w:val="24"/>
        </w:rPr>
        <w:t xml:space="preserve"> (18,5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programy graficzne</w:t>
      </w:r>
      <w:r>
        <w:rPr>
          <w:rFonts w:ascii="calibri" w:hAnsi="calibri" w:eastAsia="calibri" w:cs="calibri"/>
          <w:sz w:val="24"/>
          <w:szCs w:val="24"/>
        </w:rPr>
        <w:t xml:space="preserve"> (16,5 proc.),</w:t>
      </w:r>
      <w:r>
        <w:rPr>
          <w:rFonts w:ascii="calibri" w:hAnsi="calibri" w:eastAsia="calibri" w:cs="calibri"/>
          <w:sz w:val="24"/>
          <w:szCs w:val="24"/>
          <w:b/>
        </w:rPr>
        <w:t xml:space="preserve"> oprogramowanie księgowe</w:t>
      </w:r>
      <w:r>
        <w:rPr>
          <w:rFonts w:ascii="calibri" w:hAnsi="calibri" w:eastAsia="calibri" w:cs="calibri"/>
          <w:sz w:val="24"/>
          <w:szCs w:val="24"/>
        </w:rPr>
        <w:t xml:space="preserve"> (11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analityczne</w:t>
      </w:r>
      <w:r>
        <w:rPr>
          <w:rFonts w:ascii="calibri" w:hAnsi="calibri" w:eastAsia="calibri" w:cs="calibri"/>
          <w:sz w:val="24"/>
          <w:szCs w:val="24"/>
        </w:rPr>
        <w:t xml:space="preserve"> (8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Webinary i szkolenia online dla wielu osób są źródłem zarobku – tylko za pośrednictwem ClickMeeting w pierwszych ośmiu miesiącach 2024 r. zorganizowano </w:t>
      </w:r>
      <w:r>
        <w:rPr>
          <w:rFonts w:ascii="calibri" w:hAnsi="calibri" w:eastAsia="calibri" w:cs="calibri"/>
          <w:sz w:val="24"/>
          <w:szCs w:val="24"/>
          <w:b/>
        </w:rPr>
        <w:t xml:space="preserve">blisko 800 płatnych wydarzeń, które zarobiły łącznie 2,7 mln zł</w:t>
      </w:r>
      <w:r>
        <w:rPr>
          <w:rFonts w:ascii="calibri" w:hAnsi="calibri" w:eastAsia="calibri" w:cs="calibri"/>
          <w:sz w:val="24"/>
          <w:szCs w:val="24"/>
        </w:rPr>
        <w:t xml:space="preserve">. Coraz większą popularnością cieszy się też model zarabiania oparty na tzw. </w:t>
      </w:r>
      <w:r>
        <w:rPr>
          <w:rFonts w:ascii="calibri" w:hAnsi="calibri" w:eastAsia="calibri" w:cs="calibri"/>
          <w:sz w:val="24"/>
          <w:szCs w:val="24"/>
          <w:b/>
        </w:rPr>
        <w:t xml:space="preserve">donejtach</w:t>
      </w:r>
      <w:r>
        <w:rPr>
          <w:rFonts w:ascii="calibri" w:hAnsi="calibri" w:eastAsia="calibri" w:cs="calibri"/>
          <w:sz w:val="24"/>
          <w:szCs w:val="24"/>
        </w:rPr>
        <w:t xml:space="preserve">, czyli dobrowolnych wpłatach od uczestników wydarzeń, którzy w ten sposób doceniają otrzymywane informacje i wiedzę. ClickMeeting, </w:t>
      </w:r>
      <w:r>
        <w:rPr>
          <w:rFonts w:ascii="calibri" w:hAnsi="calibri" w:eastAsia="calibri" w:cs="calibri"/>
          <w:sz w:val="24"/>
          <w:szCs w:val="24"/>
          <w:b/>
        </w:rPr>
        <w:t xml:space="preserve">jako pierwsza tego typu platforma </w:t>
      </w:r>
      <w:r>
        <w:rPr>
          <w:rFonts w:ascii="calibri" w:hAnsi="calibri" w:eastAsia="calibri" w:cs="calibri"/>
          <w:sz w:val="24"/>
          <w:szCs w:val="24"/>
        </w:rPr>
        <w:t xml:space="preserve">wprowadził możliwość przesyłania donejtów przez uczestników i słuchaczy organizowanych za jego pośrednictwem wydarzeń.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we wrześniu 2024 r. na reprezentatywnej grupie 1000 osób w wieku od 18 do 65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2026-11-05T15:48:07+01:00</dcterms:created>
  <dcterms:modified xsi:type="dcterms:W3CDTF">2026-11-05T15:48:07+01:00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