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Szkolenia online dla medyków z USG odnotowały 679 tys. zł ze sprzedaży biletów - webinary w branży medycznej z największymi przychodami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wynika z najnowszych danych platformy ClickMeeting, największą sprzedaż z biletów na wydarzenia online w 2023 roku przyniosły organizatorom webinary związane z medycyną. Najwyższy przychód w skali roku w tej kategorii wyniósł 679 tys. zł, a pod względem zainteresowania łącznie najwięcej uczestników przyciągnęły spotkania online szkoły psychoterapii - 9 745 osób. Z kolei za największą ilość zorganizowanych spotkań na platformie odpowiedzialni byli tzw. power userzy (26 proc.), którzy aktywnie wykorzystują możliwości platformy. Na drugim miejscu uplasowali się eksperci marketingu i sprzedaży (24 proc.), a podium zamknęła branża szkoleń i consultingu (20 proc.). W najnowszym raporcie „State of online events” jeden z najpopularniejszych komunikatorów w Polsce podsumowuje branżę wydarzeń online w 2023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Medycyna przenosi szkolenia do sieci i najskuteczniej monetyzuje wiedzę</w:t>
      </w:r>
    </w:p>
    <w:p>
      <w:r>
        <w:rPr>
          <w:rFonts w:ascii="calibri" w:hAnsi="calibri" w:eastAsia="calibri" w:cs="calibri"/>
          <w:sz w:val="24"/>
          <w:szCs w:val="24"/>
        </w:rPr>
        <w:t xml:space="preserve">W ubiegłym roku spotkania online związane z </w:t>
      </w:r>
      <w:r>
        <w:rPr>
          <w:rFonts w:ascii="calibri" w:hAnsi="calibri" w:eastAsia="calibri" w:cs="calibri"/>
          <w:sz w:val="24"/>
          <w:szCs w:val="24"/>
          <w:b/>
        </w:rPr>
        <w:t xml:space="preserve">medycyną</w:t>
      </w:r>
      <w:r>
        <w:rPr>
          <w:rFonts w:ascii="calibri" w:hAnsi="calibri" w:eastAsia="calibri" w:cs="calibri"/>
          <w:sz w:val="24"/>
          <w:szCs w:val="24"/>
        </w:rPr>
        <w:t xml:space="preserve"> okazały się </w:t>
      </w:r>
      <w:r>
        <w:rPr>
          <w:rFonts w:ascii="calibri" w:hAnsi="calibri" w:eastAsia="calibri" w:cs="calibri"/>
          <w:sz w:val="24"/>
          <w:szCs w:val="24"/>
          <w:b/>
        </w:rPr>
        <w:t xml:space="preserve">najbardziej dochodowe na całej platformie. </w:t>
      </w:r>
      <w:r>
        <w:rPr>
          <w:rFonts w:ascii="calibri" w:hAnsi="calibri" w:eastAsia="calibri" w:cs="calibri"/>
          <w:sz w:val="24"/>
          <w:szCs w:val="24"/>
        </w:rPr>
        <w:t xml:space="preserve">Jeden z użytkowników, który specjalizuje się w kształceniu medyków, zorganizował </w:t>
      </w:r>
      <w:r>
        <w:rPr>
          <w:rFonts w:ascii="calibri" w:hAnsi="calibri" w:eastAsia="calibri" w:cs="calibri"/>
          <w:sz w:val="24"/>
          <w:szCs w:val="24"/>
          <w:b/>
        </w:rPr>
        <w:t xml:space="preserve">31 wydarzeń dotyczących szkoleń badań z USG</w:t>
      </w:r>
      <w:r>
        <w:rPr>
          <w:rFonts w:ascii="calibri" w:hAnsi="calibri" w:eastAsia="calibri" w:cs="calibri"/>
          <w:sz w:val="24"/>
          <w:szCs w:val="24"/>
        </w:rPr>
        <w:t xml:space="preserve">, które sprzedały łącznie </w:t>
      </w:r>
      <w:r>
        <w:rPr>
          <w:rFonts w:ascii="calibri" w:hAnsi="calibri" w:eastAsia="calibri" w:cs="calibri"/>
          <w:sz w:val="24"/>
          <w:szCs w:val="24"/>
          <w:b/>
        </w:rPr>
        <w:t xml:space="preserve">6 825 biletów</w:t>
      </w:r>
      <w:r>
        <w:rPr>
          <w:rFonts w:ascii="calibri" w:hAnsi="calibri" w:eastAsia="calibri" w:cs="calibri"/>
          <w:sz w:val="24"/>
          <w:szCs w:val="24"/>
        </w:rPr>
        <w:t xml:space="preserve">, co przełożyło się na </w:t>
      </w:r>
      <w:r>
        <w:rPr>
          <w:rFonts w:ascii="calibri" w:hAnsi="calibri" w:eastAsia="calibri" w:cs="calibri"/>
          <w:sz w:val="24"/>
          <w:szCs w:val="24"/>
          <w:b/>
        </w:rPr>
        <w:t xml:space="preserve">679 tys. zł przychodu</w:t>
      </w:r>
      <w:r>
        <w:rPr>
          <w:rFonts w:ascii="calibri" w:hAnsi="calibri" w:eastAsia="calibri" w:cs="calibri"/>
          <w:sz w:val="24"/>
          <w:szCs w:val="24"/>
        </w:rPr>
        <w:t xml:space="preserve">. Z kolei jedno ze spotkań online, </w:t>
      </w:r>
      <w:r>
        <w:rPr>
          <w:rFonts w:ascii="calibri" w:hAnsi="calibri" w:eastAsia="calibri" w:cs="calibri"/>
          <w:sz w:val="24"/>
          <w:szCs w:val="24"/>
          <w:b/>
        </w:rPr>
        <w:t xml:space="preserve">dotyczących samodzielnego usypiania dzieci</w:t>
      </w:r>
      <w:r>
        <w:rPr>
          <w:rFonts w:ascii="calibri" w:hAnsi="calibri" w:eastAsia="calibri" w:cs="calibri"/>
          <w:sz w:val="24"/>
          <w:szCs w:val="24"/>
        </w:rPr>
        <w:t xml:space="preserve"> wygenerowało </w:t>
      </w:r>
      <w:r>
        <w:rPr>
          <w:rFonts w:ascii="calibri" w:hAnsi="calibri" w:eastAsia="calibri" w:cs="calibri"/>
          <w:sz w:val="24"/>
          <w:szCs w:val="24"/>
          <w:b/>
        </w:rPr>
        <w:t xml:space="preserve">161 tys. zł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przychodu.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Pozycję lidera kategorii pod względem ilości spotkań online i biorących udział w nich osób </w:t>
      </w:r>
      <w:r>
        <w:rPr>
          <w:rFonts w:ascii="calibri" w:hAnsi="calibri" w:eastAsia="calibri" w:cs="calibri"/>
          <w:sz w:val="24"/>
          <w:szCs w:val="24"/>
        </w:rPr>
        <w:t xml:space="preserve">zajęła międzynarodowa szkoła </w:t>
      </w:r>
      <w:r>
        <w:rPr>
          <w:rFonts w:ascii="calibri" w:hAnsi="calibri" w:eastAsia="calibri" w:cs="calibri"/>
          <w:sz w:val="24"/>
          <w:szCs w:val="24"/>
          <w:b/>
        </w:rPr>
        <w:t xml:space="preserve">psychoterapii</w:t>
      </w:r>
      <w:r>
        <w:rPr>
          <w:rFonts w:ascii="calibri" w:hAnsi="calibri" w:eastAsia="calibri" w:cs="calibri"/>
          <w:sz w:val="24"/>
          <w:szCs w:val="24"/>
        </w:rPr>
        <w:t xml:space="preserve">, która oferuje szkolenia dla specjalistów zainteresowanych rozwijaniem swojego warsztatu. W skali roku utworzyła ona </w:t>
      </w:r>
      <w:r>
        <w:rPr>
          <w:rFonts w:ascii="calibri" w:hAnsi="calibri" w:eastAsia="calibri" w:cs="calibri"/>
          <w:sz w:val="24"/>
          <w:szCs w:val="24"/>
          <w:b/>
        </w:rPr>
        <w:t xml:space="preserve">784 wydarzenia,</w:t>
      </w:r>
      <w:r>
        <w:rPr>
          <w:rFonts w:ascii="calibri" w:hAnsi="calibri" w:eastAsia="calibri" w:cs="calibri"/>
          <w:sz w:val="24"/>
          <w:szCs w:val="24"/>
        </w:rPr>
        <w:t xml:space="preserve"> które zgromadziły łącznie </w:t>
      </w:r>
      <w:r>
        <w:rPr>
          <w:rFonts w:ascii="calibri" w:hAnsi="calibri" w:eastAsia="calibri" w:cs="calibri"/>
          <w:sz w:val="24"/>
          <w:szCs w:val="24"/>
          <w:b/>
        </w:rPr>
        <w:t xml:space="preserve">9 745 uczestników</w:t>
      </w:r>
      <w:r>
        <w:rPr>
          <w:rFonts w:ascii="calibri" w:hAnsi="calibri" w:eastAsia="calibri" w:cs="calibri"/>
          <w:sz w:val="24"/>
          <w:szCs w:val="24"/>
        </w:rPr>
        <w:t xml:space="preserve">. Cały sektor medyczny odpowiadał za </w:t>
      </w:r>
      <w:r>
        <w:rPr>
          <w:rFonts w:ascii="calibri" w:hAnsi="calibri" w:eastAsia="calibri" w:cs="calibri"/>
          <w:sz w:val="24"/>
          <w:szCs w:val="24"/>
          <w:b/>
        </w:rPr>
        <w:t xml:space="preserve">8 proc.</w:t>
      </w:r>
      <w:r>
        <w:rPr>
          <w:rFonts w:ascii="calibri" w:hAnsi="calibri" w:eastAsia="calibri" w:cs="calibri"/>
          <w:sz w:val="24"/>
          <w:szCs w:val="24"/>
        </w:rPr>
        <w:t xml:space="preserve"> wydarzeń na platformie. Natomiast </w:t>
      </w:r>
      <w:r>
        <w:rPr>
          <w:rFonts w:ascii="calibri" w:hAnsi="calibri" w:eastAsia="calibri" w:cs="calibri"/>
          <w:sz w:val="24"/>
          <w:szCs w:val="24"/>
          <w:b/>
        </w:rPr>
        <w:t xml:space="preserve">statystyczny ekspert branży medycznej</w:t>
      </w:r>
      <w:r>
        <w:rPr>
          <w:rFonts w:ascii="calibri" w:hAnsi="calibri" w:eastAsia="calibri" w:cs="calibri"/>
          <w:sz w:val="24"/>
          <w:szCs w:val="24"/>
        </w:rPr>
        <w:t xml:space="preserve"> zorganizował w ubiegłym roku </w:t>
      </w:r>
      <w:r>
        <w:rPr>
          <w:rFonts w:ascii="calibri" w:hAnsi="calibri" w:eastAsia="calibri" w:cs="calibri"/>
          <w:sz w:val="24"/>
          <w:szCs w:val="24"/>
          <w:b/>
        </w:rPr>
        <w:t xml:space="preserve">156 wydarzeń </w:t>
      </w:r>
      <w:r>
        <w:rPr>
          <w:rFonts w:ascii="calibri" w:hAnsi="calibri" w:eastAsia="calibri" w:cs="calibri"/>
          <w:sz w:val="24"/>
          <w:szCs w:val="24"/>
        </w:rPr>
        <w:t xml:space="preserve">z </w:t>
      </w:r>
      <w:r>
        <w:rPr>
          <w:rFonts w:ascii="calibri" w:hAnsi="calibri" w:eastAsia="calibri" w:cs="calibri"/>
          <w:sz w:val="24"/>
          <w:szCs w:val="24"/>
          <w:b/>
        </w:rPr>
        <w:t xml:space="preserve">1 830 uczestnikami.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Power userzy oraz marketing i sprzedaż liderami webinarów</w:t>
      </w:r>
    </w:p>
    <w:p>
      <w:r>
        <w:rPr>
          <w:rFonts w:ascii="calibri" w:hAnsi="calibri" w:eastAsia="calibri" w:cs="calibri"/>
          <w:sz w:val="24"/>
          <w:szCs w:val="24"/>
        </w:rPr>
        <w:t xml:space="preserve">Rynek webinarów </w:t>
      </w:r>
      <w:r>
        <w:rPr>
          <w:rFonts w:ascii="calibri" w:hAnsi="calibri" w:eastAsia="calibri" w:cs="calibri"/>
          <w:sz w:val="24"/>
          <w:szCs w:val="24"/>
          <w:b/>
        </w:rPr>
        <w:t xml:space="preserve">w 2023 roku</w:t>
      </w:r>
      <w:r>
        <w:rPr>
          <w:rFonts w:ascii="calibri" w:hAnsi="calibri" w:eastAsia="calibri" w:cs="calibri"/>
          <w:sz w:val="24"/>
          <w:szCs w:val="24"/>
        </w:rPr>
        <w:t xml:space="preserve"> cieszył się ogromną popularnością zarówno wśród </w:t>
      </w:r>
      <w:r>
        <w:rPr>
          <w:rFonts w:ascii="calibri" w:hAnsi="calibri" w:eastAsia="calibri" w:cs="calibri"/>
          <w:sz w:val="24"/>
          <w:szCs w:val="24"/>
          <w:b/>
        </w:rPr>
        <w:t xml:space="preserve">organizatorów,</w:t>
      </w:r>
      <w:r>
        <w:rPr>
          <w:rFonts w:ascii="calibri" w:hAnsi="calibri" w:eastAsia="calibri" w:cs="calibri"/>
          <w:sz w:val="24"/>
          <w:szCs w:val="24"/>
        </w:rPr>
        <w:t xml:space="preserve"> jak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uczestników spotkań online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</w:rPr>
        <w:t xml:space="preserve">Na pierwszą pozycję</w:t>
      </w:r>
      <w:r>
        <w:rPr>
          <w:rFonts w:ascii="calibri" w:hAnsi="calibri" w:eastAsia="calibri" w:cs="calibri"/>
          <w:sz w:val="24"/>
          <w:szCs w:val="24"/>
        </w:rPr>
        <w:t xml:space="preserve"> wysunęła się grupa tzw. </w:t>
      </w:r>
      <w:r>
        <w:rPr>
          <w:rFonts w:ascii="calibri" w:hAnsi="calibri" w:eastAsia="calibri" w:cs="calibri"/>
          <w:sz w:val="24"/>
          <w:szCs w:val="24"/>
          <w:b/>
        </w:rPr>
        <w:t xml:space="preserve">power userów. </w:t>
      </w:r>
      <w:r>
        <w:rPr>
          <w:rFonts w:ascii="calibri" w:hAnsi="calibri" w:eastAsia="calibri" w:cs="calibri"/>
          <w:sz w:val="24"/>
          <w:szCs w:val="24"/>
        </w:rPr>
        <w:t xml:space="preserve">Przykładem takiego użytkownika może być sportowiec, którego podstawą działań są prowadzone treningi online, ale równolegle tworzy on </w:t>
      </w:r>
      <w:r>
        <w:rPr>
          <w:rFonts w:ascii="calibri" w:hAnsi="calibri" w:eastAsia="calibri" w:cs="calibri"/>
          <w:sz w:val="24"/>
          <w:szCs w:val="24"/>
          <w:b/>
        </w:rPr>
        <w:t xml:space="preserve">szkolenia</w:t>
      </w:r>
      <w:r>
        <w:rPr>
          <w:rFonts w:ascii="calibri" w:hAnsi="calibri" w:eastAsia="calibri" w:cs="calibri"/>
          <w:sz w:val="24"/>
          <w:szCs w:val="24"/>
        </w:rPr>
        <w:t xml:space="preserve"> dla innych oraz </w:t>
      </w:r>
      <w:r>
        <w:rPr>
          <w:rFonts w:ascii="calibri" w:hAnsi="calibri" w:eastAsia="calibri" w:cs="calibri"/>
          <w:sz w:val="24"/>
          <w:szCs w:val="24"/>
          <w:b/>
        </w:rPr>
        <w:t xml:space="preserve">webinary promocyjne</w:t>
      </w:r>
      <w:r>
        <w:rPr>
          <w:rFonts w:ascii="calibri" w:hAnsi="calibri" w:eastAsia="calibri" w:cs="calibri"/>
          <w:sz w:val="24"/>
          <w:szCs w:val="24"/>
        </w:rPr>
        <w:t xml:space="preserve">. Tacy użytkownicy odpowiadają za </w:t>
      </w:r>
      <w:r>
        <w:rPr>
          <w:rFonts w:ascii="calibri" w:hAnsi="calibri" w:eastAsia="calibri" w:cs="calibri"/>
          <w:sz w:val="24"/>
          <w:szCs w:val="24"/>
          <w:b/>
        </w:rPr>
        <w:t xml:space="preserve">26 proc. wydarzeń</w:t>
      </w:r>
      <w:r>
        <w:rPr>
          <w:rFonts w:ascii="calibri" w:hAnsi="calibri" w:eastAsia="calibri" w:cs="calibri"/>
          <w:sz w:val="24"/>
          <w:szCs w:val="24"/>
        </w:rPr>
        <w:t xml:space="preserve"> organizowanych na całej platformie. </w:t>
      </w:r>
      <w:r>
        <w:rPr>
          <w:rFonts w:ascii="calibri" w:hAnsi="calibri" w:eastAsia="calibri" w:cs="calibri"/>
          <w:sz w:val="24"/>
          <w:szCs w:val="24"/>
          <w:b/>
        </w:rPr>
        <w:t xml:space="preserve">Lider tej kategorii pod względem ilości spotkań online i osób, które brały w nich udział</w:t>
      </w:r>
      <w:r>
        <w:rPr>
          <w:rFonts w:ascii="calibri" w:hAnsi="calibri" w:eastAsia="calibri" w:cs="calibri"/>
          <w:sz w:val="24"/>
          <w:szCs w:val="24"/>
        </w:rPr>
        <w:t xml:space="preserve"> zorganizował w skali roku imponujące </w:t>
      </w:r>
      <w:r>
        <w:rPr>
          <w:rFonts w:ascii="calibri" w:hAnsi="calibri" w:eastAsia="calibri" w:cs="calibri"/>
          <w:sz w:val="24"/>
          <w:szCs w:val="24"/>
          <w:b/>
        </w:rPr>
        <w:t xml:space="preserve">1 309 spotkań online</w:t>
      </w:r>
      <w:r>
        <w:rPr>
          <w:rFonts w:ascii="calibri" w:hAnsi="calibri" w:eastAsia="calibri" w:cs="calibri"/>
          <w:sz w:val="24"/>
          <w:szCs w:val="24"/>
        </w:rPr>
        <w:t xml:space="preserve">, w których udział wzięło </w:t>
      </w:r>
      <w:r>
        <w:rPr>
          <w:rFonts w:ascii="calibri" w:hAnsi="calibri" w:eastAsia="calibri" w:cs="calibri"/>
          <w:sz w:val="24"/>
          <w:szCs w:val="24"/>
          <w:b/>
        </w:rPr>
        <w:t xml:space="preserve">12 558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osób. </w:t>
      </w:r>
      <w:r>
        <w:rPr>
          <w:rFonts w:ascii="calibri" w:hAnsi="calibri" w:eastAsia="calibri" w:cs="calibri"/>
          <w:sz w:val="24"/>
          <w:szCs w:val="24"/>
        </w:rPr>
        <w:t xml:space="preserve">Z kolei </w:t>
      </w:r>
      <w:r>
        <w:rPr>
          <w:rFonts w:ascii="calibri" w:hAnsi="calibri" w:eastAsia="calibri" w:cs="calibri"/>
          <w:sz w:val="24"/>
          <w:szCs w:val="24"/>
          <w:b/>
        </w:rPr>
        <w:t xml:space="preserve">statystyczny power user</w:t>
      </w:r>
      <w:r>
        <w:rPr>
          <w:rFonts w:ascii="calibri" w:hAnsi="calibri" w:eastAsia="calibri" w:cs="calibri"/>
          <w:sz w:val="24"/>
          <w:szCs w:val="24"/>
        </w:rPr>
        <w:t xml:space="preserve"> utworzył rocznie średnio </w:t>
      </w:r>
      <w:r>
        <w:rPr>
          <w:rFonts w:ascii="calibri" w:hAnsi="calibri" w:eastAsia="calibri" w:cs="calibri"/>
          <w:sz w:val="24"/>
          <w:szCs w:val="24"/>
          <w:b/>
        </w:rPr>
        <w:t xml:space="preserve">85 wydarzeń</w:t>
      </w:r>
      <w:r>
        <w:rPr>
          <w:rFonts w:ascii="calibri" w:hAnsi="calibri" w:eastAsia="calibri" w:cs="calibri"/>
          <w:sz w:val="24"/>
          <w:szCs w:val="24"/>
        </w:rPr>
        <w:t xml:space="preserve">, które przyciągnęły</w:t>
      </w:r>
      <w:r>
        <w:rPr>
          <w:rFonts w:ascii="calibri" w:hAnsi="calibri" w:eastAsia="calibri" w:cs="calibri"/>
          <w:sz w:val="24"/>
          <w:szCs w:val="24"/>
          <w:b/>
        </w:rPr>
        <w:t xml:space="preserve"> 933 uczestników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</w:rPr>
        <w:t xml:space="preserve">Na drugim miejscu </w:t>
      </w:r>
      <w:r>
        <w:rPr>
          <w:rFonts w:ascii="calibri" w:hAnsi="calibri" w:eastAsia="calibri" w:cs="calibri"/>
          <w:sz w:val="24"/>
          <w:szCs w:val="24"/>
        </w:rPr>
        <w:t xml:space="preserve">uplasowała się </w:t>
      </w:r>
      <w:r>
        <w:rPr>
          <w:rFonts w:ascii="calibri" w:hAnsi="calibri" w:eastAsia="calibri" w:cs="calibri"/>
          <w:sz w:val="24"/>
          <w:szCs w:val="24"/>
          <w:b/>
        </w:rPr>
        <w:t xml:space="preserve">branża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marketingu i sprzedaży</w:t>
      </w:r>
      <w:r>
        <w:rPr>
          <w:rFonts w:ascii="calibri" w:hAnsi="calibri" w:eastAsia="calibri" w:cs="calibri"/>
          <w:sz w:val="24"/>
          <w:szCs w:val="24"/>
        </w:rPr>
        <w:t xml:space="preserve">, której, podobnie jak przed rokiem, dotyczyło niemal co </w:t>
      </w:r>
      <w:r>
        <w:rPr>
          <w:rFonts w:ascii="calibri" w:hAnsi="calibri" w:eastAsia="calibri" w:cs="calibri"/>
          <w:sz w:val="24"/>
          <w:szCs w:val="24"/>
          <w:b/>
        </w:rPr>
        <w:t xml:space="preserve">czwarte wydarzenie</w:t>
      </w:r>
      <w:r>
        <w:rPr>
          <w:rFonts w:ascii="calibri" w:hAnsi="calibri" w:eastAsia="calibri" w:cs="calibri"/>
          <w:sz w:val="24"/>
          <w:szCs w:val="24"/>
        </w:rPr>
        <w:t xml:space="preserve"> na platformie, czyli </w:t>
      </w:r>
      <w:r>
        <w:rPr>
          <w:rFonts w:ascii="calibri" w:hAnsi="calibri" w:eastAsia="calibri" w:cs="calibri"/>
          <w:sz w:val="24"/>
          <w:szCs w:val="24"/>
          <w:b/>
        </w:rPr>
        <w:t xml:space="preserve">24 proc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</w:rPr>
        <w:t xml:space="preserve">Lider kategorii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pod względem ilości spotkań online i biorących udział w nich osób </w:t>
      </w:r>
      <w:r>
        <w:rPr>
          <w:rFonts w:ascii="calibri" w:hAnsi="calibri" w:eastAsia="calibri" w:cs="calibri"/>
          <w:sz w:val="24"/>
          <w:szCs w:val="24"/>
        </w:rPr>
        <w:t xml:space="preserve">utworzył </w:t>
      </w:r>
      <w:r>
        <w:rPr>
          <w:rFonts w:ascii="calibri" w:hAnsi="calibri" w:eastAsia="calibri" w:cs="calibri"/>
          <w:sz w:val="24"/>
          <w:szCs w:val="24"/>
          <w:b/>
        </w:rPr>
        <w:t xml:space="preserve">2 437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spotkań online</w:t>
      </w:r>
      <w:r>
        <w:rPr>
          <w:rFonts w:ascii="calibri" w:hAnsi="calibri" w:eastAsia="calibri" w:cs="calibri"/>
          <w:sz w:val="24"/>
          <w:szCs w:val="24"/>
        </w:rPr>
        <w:t xml:space="preserve">, które zgromadziły łącznie </w:t>
      </w:r>
      <w:r>
        <w:rPr>
          <w:rFonts w:ascii="calibri" w:hAnsi="calibri" w:eastAsia="calibri" w:cs="calibri"/>
          <w:sz w:val="24"/>
          <w:szCs w:val="24"/>
          <w:b/>
        </w:rPr>
        <w:t xml:space="preserve">28 258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uczestników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Webinary stały się dzisiaj ważnym narzędziem wykorzystywanym przez ekspertów w celu dzielenia się wiedzą oraz promowania marki. W 2023 roku najbardziej aktywnymi branżami na naszej platformie były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marketing i sprzedaż oraz edukacja i szkolenia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Eksperci monetyzują swoją wiedzę, a generowanie przychodów z webinarów jest niezwykle proste dzięki integracji z systemami płatności. Jako platforma ClickMeeting oferujemy organizatorom oraz uczestnikom nowoczesne narzędzia zapewniające zarówno komunikację online w ramach spotkań, jak i organizację interaktywnych szkoleń i webinarów z możliwością ich automatyzacji </w:t>
      </w:r>
      <w:r>
        <w:rPr>
          <w:rFonts w:ascii="calibri" w:hAnsi="calibri" w:eastAsia="calibri" w:cs="calibri"/>
          <w:sz w:val="24"/>
          <w:szCs w:val="24"/>
        </w:rPr>
        <w:t xml:space="preserve">–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Martyna Grzegorczyk, Marketing Operations Manager ClickMeeting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Szkolenia i consulting oraz edukacja</w:t>
      </w:r>
    </w:p>
    <w:p>
      <w:r>
        <w:rPr>
          <w:rFonts w:ascii="calibri" w:hAnsi="calibri" w:eastAsia="calibri" w:cs="calibri"/>
          <w:sz w:val="24"/>
          <w:szCs w:val="24"/>
        </w:rPr>
        <w:t xml:space="preserve">Również branża </w:t>
      </w:r>
      <w:r>
        <w:rPr>
          <w:rFonts w:ascii="calibri" w:hAnsi="calibri" w:eastAsia="calibri" w:cs="calibri"/>
          <w:sz w:val="24"/>
          <w:szCs w:val="24"/>
          <w:b/>
        </w:rPr>
        <w:t xml:space="preserve">szkoleniowa i consultingowa</w:t>
      </w:r>
      <w:r>
        <w:rPr>
          <w:rFonts w:ascii="calibri" w:hAnsi="calibri" w:eastAsia="calibri" w:cs="calibri"/>
          <w:sz w:val="24"/>
          <w:szCs w:val="24"/>
        </w:rPr>
        <w:t xml:space="preserve"> wykazała silną obecność na platformie ClickMeeting, odpowiadając za </w:t>
      </w:r>
      <w:r>
        <w:rPr>
          <w:rFonts w:ascii="calibri" w:hAnsi="calibri" w:eastAsia="calibri" w:cs="calibri"/>
          <w:sz w:val="24"/>
          <w:szCs w:val="24"/>
          <w:b/>
        </w:rPr>
        <w:t xml:space="preserve">20 proc. eventów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</w:rPr>
        <w:t xml:space="preserve">Szkolenia i kursy</w:t>
      </w:r>
      <w:r>
        <w:rPr>
          <w:rFonts w:ascii="calibri" w:hAnsi="calibri" w:eastAsia="calibri" w:cs="calibri"/>
          <w:sz w:val="24"/>
          <w:szCs w:val="24"/>
        </w:rPr>
        <w:t xml:space="preserve"> przenoszą się do świata wirtualnego – dzięki takiej formule wiedza jest na wyciągnięcie ręki, a edukatorzy mogą zwiększać skalę działania i ograniczać koszty. </w:t>
      </w:r>
      <w:r>
        <w:rPr>
          <w:rFonts w:ascii="calibri" w:hAnsi="calibri" w:eastAsia="calibri" w:cs="calibri"/>
          <w:sz w:val="24"/>
          <w:szCs w:val="24"/>
          <w:b/>
        </w:rPr>
        <w:t xml:space="preserve">Lider branży</w:t>
      </w:r>
      <w:r>
        <w:rPr>
          <w:rFonts w:ascii="calibri" w:hAnsi="calibri" w:eastAsia="calibri" w:cs="calibri"/>
          <w:sz w:val="24"/>
          <w:szCs w:val="24"/>
        </w:rPr>
        <w:t xml:space="preserve"> zorganizował w ubiegłym roku </w:t>
      </w:r>
      <w:r>
        <w:rPr>
          <w:rFonts w:ascii="calibri" w:hAnsi="calibri" w:eastAsia="calibri" w:cs="calibri"/>
          <w:sz w:val="24"/>
          <w:szCs w:val="24"/>
          <w:b/>
        </w:rPr>
        <w:t xml:space="preserve">419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wydarzeń</w:t>
      </w:r>
      <w:r>
        <w:rPr>
          <w:rFonts w:ascii="calibri" w:hAnsi="calibri" w:eastAsia="calibri" w:cs="calibri"/>
          <w:sz w:val="24"/>
          <w:szCs w:val="24"/>
        </w:rPr>
        <w:t xml:space="preserve">, przyciągając łącznie </w:t>
      </w:r>
      <w:r>
        <w:rPr>
          <w:rFonts w:ascii="calibri" w:hAnsi="calibri" w:eastAsia="calibri" w:cs="calibri"/>
          <w:sz w:val="24"/>
          <w:szCs w:val="24"/>
          <w:b/>
        </w:rPr>
        <w:t xml:space="preserve">1 430</w:t>
      </w:r>
      <w:r>
        <w:rPr>
          <w:rFonts w:ascii="calibri" w:hAnsi="calibri" w:eastAsia="calibri" w:cs="calibri"/>
          <w:sz w:val="24"/>
          <w:szCs w:val="24"/>
        </w:rPr>
        <w:t xml:space="preserve"> uczestników. Natomiast </w:t>
      </w:r>
      <w:r>
        <w:rPr>
          <w:rFonts w:ascii="calibri" w:hAnsi="calibri" w:eastAsia="calibri" w:cs="calibri"/>
          <w:sz w:val="24"/>
          <w:szCs w:val="24"/>
          <w:b/>
        </w:rPr>
        <w:t xml:space="preserve">statystyczny szkoleniowiec</w:t>
      </w:r>
      <w:r>
        <w:rPr>
          <w:rFonts w:ascii="calibri" w:hAnsi="calibri" w:eastAsia="calibri" w:cs="calibri"/>
          <w:sz w:val="24"/>
          <w:szCs w:val="24"/>
        </w:rPr>
        <w:t xml:space="preserve"> tworzył rocznie </w:t>
      </w:r>
      <w:r>
        <w:rPr>
          <w:rFonts w:ascii="calibri" w:hAnsi="calibri" w:eastAsia="calibri" w:cs="calibri"/>
          <w:sz w:val="24"/>
          <w:szCs w:val="24"/>
          <w:b/>
        </w:rPr>
        <w:t xml:space="preserve">90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spotkań online</w:t>
      </w:r>
      <w:r>
        <w:rPr>
          <w:rFonts w:ascii="calibri" w:hAnsi="calibri" w:eastAsia="calibri" w:cs="calibri"/>
          <w:sz w:val="24"/>
          <w:szCs w:val="24"/>
        </w:rPr>
        <w:t xml:space="preserve">, gromadząc na nich </w:t>
      </w:r>
      <w:r>
        <w:rPr>
          <w:rFonts w:ascii="calibri" w:hAnsi="calibri" w:eastAsia="calibri" w:cs="calibri"/>
          <w:sz w:val="24"/>
          <w:szCs w:val="24"/>
          <w:b/>
        </w:rPr>
        <w:t xml:space="preserve">1 259 osób.</w:t>
      </w:r>
      <w:r>
        <w:rPr>
          <w:rFonts w:ascii="calibri" w:hAnsi="calibri" w:eastAsia="calibri" w:cs="calibri"/>
          <w:sz w:val="24"/>
          <w:szCs w:val="24"/>
        </w:rPr>
        <w:t xml:space="preserve"> Z kolei webinary związane z edukacją stanowiły </w:t>
      </w:r>
      <w:r>
        <w:rPr>
          <w:rFonts w:ascii="calibri" w:hAnsi="calibri" w:eastAsia="calibri" w:cs="calibri"/>
          <w:sz w:val="24"/>
          <w:szCs w:val="24"/>
          <w:b/>
        </w:rPr>
        <w:t xml:space="preserve">14 proc. wszystkich wydarzeń online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</w:rPr>
        <w:t xml:space="preserve">Liderem sektora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edukacji</w:t>
      </w:r>
      <w:r>
        <w:rPr>
          <w:rFonts w:ascii="calibri" w:hAnsi="calibri" w:eastAsia="calibri" w:cs="calibri"/>
          <w:sz w:val="24"/>
          <w:szCs w:val="24"/>
        </w:rPr>
        <w:t xml:space="preserve"> była szkoła językowa oferująca lekcje orientalnych języków, z </w:t>
      </w:r>
      <w:r>
        <w:rPr>
          <w:rFonts w:ascii="calibri" w:hAnsi="calibri" w:eastAsia="calibri" w:cs="calibri"/>
          <w:sz w:val="24"/>
          <w:szCs w:val="24"/>
          <w:b/>
        </w:rPr>
        <w:t xml:space="preserve">rekordowymi 6 619 wydarzeniami</w:t>
      </w:r>
      <w:r>
        <w:rPr>
          <w:rFonts w:ascii="calibri" w:hAnsi="calibri" w:eastAsia="calibri" w:cs="calibri"/>
          <w:sz w:val="24"/>
          <w:szCs w:val="24"/>
        </w:rPr>
        <w:t xml:space="preserve">, na które zalogowano się łącznie </w:t>
      </w:r>
      <w:r>
        <w:rPr>
          <w:rFonts w:ascii="calibri" w:hAnsi="calibri" w:eastAsia="calibri" w:cs="calibri"/>
          <w:sz w:val="24"/>
          <w:szCs w:val="24"/>
          <w:b/>
        </w:rPr>
        <w:t xml:space="preserve">23 831 razy</w:t>
      </w:r>
      <w:r>
        <w:rPr>
          <w:rFonts w:ascii="calibri" w:hAnsi="calibri" w:eastAsia="calibri" w:cs="calibri"/>
          <w:sz w:val="24"/>
          <w:szCs w:val="24"/>
        </w:rPr>
        <w:t xml:space="preserve">. Statystyczny edukator tworzył </w:t>
      </w:r>
      <w:r>
        <w:rPr>
          <w:rFonts w:ascii="calibri" w:hAnsi="calibri" w:eastAsia="calibri" w:cs="calibri"/>
          <w:sz w:val="24"/>
          <w:szCs w:val="24"/>
          <w:b/>
        </w:rPr>
        <w:t xml:space="preserve">328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spotkań online</w:t>
      </w:r>
      <w:r>
        <w:rPr>
          <w:rFonts w:ascii="calibri" w:hAnsi="calibri" w:eastAsia="calibri" w:cs="calibri"/>
          <w:sz w:val="24"/>
          <w:szCs w:val="24"/>
        </w:rPr>
        <w:t xml:space="preserve">, w których udział wzięło </w:t>
      </w:r>
      <w:r>
        <w:rPr>
          <w:rFonts w:ascii="calibri" w:hAnsi="calibri" w:eastAsia="calibri" w:cs="calibri"/>
          <w:sz w:val="24"/>
          <w:szCs w:val="24"/>
          <w:b/>
        </w:rPr>
        <w:t xml:space="preserve">2 175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osób </w:t>
      </w:r>
      <w:r>
        <w:rPr>
          <w:rFonts w:ascii="calibri" w:hAnsi="calibri" w:eastAsia="calibri" w:cs="calibri"/>
          <w:sz w:val="24"/>
          <w:szCs w:val="24"/>
        </w:rPr>
        <w:t xml:space="preserve">w skali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ClickMeeting</w:t>
      </w:r>
      <w:r>
        <w:rPr>
          <w:rFonts w:ascii="calibri" w:hAnsi="calibri" w:eastAsia="calibri" w:cs="calibri"/>
          <w:sz w:val="24"/>
          <w:szCs w:val="24"/>
        </w:rPr>
        <w:t xml:space="preserve"> to polska firma, która powstała w 2011 roku i udostępnia aplikację na całym świecie w 8 wersjach językowych. Jej misją jest wsparcie komunikacji i nauki niezależnie od tego, w jakim miejscu na świecie ktoś się znajduje. Platforma do webinarów, czyli rodzaju seminarium prowadzonego za pośrednictwem internetu, działa w przeglądarce internetowej. Nie trzeba mieć specjalistycznej wiedzy technicznej lub instalować czegoś na swoim urządzeniu, by w łatwy sposób cieszyć się z funkcjonalności narzędzia.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Akademia Clickmeeting</w:t>
      </w:r>
      <w:r>
        <w:rPr>
          <w:rFonts w:ascii="calibri" w:hAnsi="calibri" w:eastAsia="calibri" w:cs="calibri"/>
          <w:sz w:val="24"/>
          <w:szCs w:val="24"/>
        </w:rPr>
        <w:t xml:space="preserve">: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https://knowledge.clickmeeting.com/pl/manual/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Grupa Akademii Clickmeeting na Facebooku: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https://www.facebook.com/groups/533178777342385/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www.clickmeeting.pl</w:t>
        </w:r>
      </w:hyperlink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https://www.facebook.com/clickmeeting/?ref=br_rs</w:t>
        </w:r>
      </w:hyperlink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https://www.linkedin.com/company/clickmeeting/</w:t>
        </w:r>
      </w:hyperlink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https://www.youtube.com/user/ClickMeetingvideo/videos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nowledge.clickmeeting.com/pl/manual/" TargetMode="External"/><Relationship Id="rId8" Type="http://schemas.openxmlformats.org/officeDocument/2006/relationships/hyperlink" Target="https://www.facebook.com/groups/533178777342385/" TargetMode="External"/><Relationship Id="rId9" Type="http://schemas.openxmlformats.org/officeDocument/2006/relationships/hyperlink" Target="http://www.clickmeeting.pl" TargetMode="External"/><Relationship Id="rId10" Type="http://schemas.openxmlformats.org/officeDocument/2006/relationships/hyperlink" Target="https://www.facebook.com/clickmeeting/?ref=br_rs" TargetMode="External"/><Relationship Id="rId11" Type="http://schemas.openxmlformats.org/officeDocument/2006/relationships/hyperlink" Target="https://www.linkedin.com/company/clickmeeting/" TargetMode="External"/><Relationship Id="rId12" Type="http://schemas.openxmlformats.org/officeDocument/2006/relationships/hyperlink" Target="https://www.youtube.com/user/ClickMeetingvideo/vide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2024-05-17T04:32:52+02:00</dcterms:created>
  <dcterms:modified xsi:type="dcterms:W3CDTF">2024-05-17T04:32:52+02:00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